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3A9BA1" w14:textId="5224EF3B" w:rsidR="008A4A6F" w:rsidRPr="00435DC8" w:rsidRDefault="008A4A6F" w:rsidP="008A4A6F">
      <w:pPr>
        <w:pStyle w:val="a3"/>
        <w:tabs>
          <w:tab w:val="left" w:pos="2160"/>
        </w:tabs>
        <w:ind w:left="2127" w:hanging="2127"/>
        <w:jc w:val="both"/>
        <w:rPr>
          <w:rFonts w:ascii="Arial" w:hAnsi="Arial" w:cs="Arial"/>
          <w:noProof w:val="0"/>
          <w:sz w:val="22"/>
        </w:rPr>
      </w:pPr>
      <w:bookmarkStart w:id="0" w:name="OLE_LINK5"/>
      <w:r w:rsidRPr="0083294C">
        <w:rPr>
          <w:rFonts w:ascii="Arial" w:hAnsi="Arial" w:cs="Arial"/>
          <w:noProof w:val="0"/>
          <w:sz w:val="22"/>
        </w:rPr>
        <w:t>3GPP TSG-RAN WG4 Meeting</w:t>
      </w:r>
      <w:r w:rsidR="00F952AE">
        <w:rPr>
          <w:rFonts w:ascii="Arial" w:hAnsi="Arial" w:cs="Arial"/>
          <w:noProof w:val="0"/>
          <w:sz w:val="22"/>
        </w:rPr>
        <w:t xml:space="preserve"> </w:t>
      </w:r>
      <w:r w:rsidR="000A10AF" w:rsidRPr="00197406">
        <w:rPr>
          <w:rFonts w:ascii="Calibri" w:eastAsia="PMingLiU" w:hAnsi="Calibri" w:cs="Arial"/>
          <w:noProof w:val="0"/>
          <w:sz w:val="24"/>
          <w:szCs w:val="24"/>
          <w:lang w:eastAsia="ja-JP"/>
        </w:rPr>
        <w:t>#</w:t>
      </w:r>
      <w:r w:rsidR="008978E4">
        <w:rPr>
          <w:rFonts w:ascii="Calibri" w:eastAsia="PMingLiU" w:hAnsi="Calibri" w:cs="Arial"/>
          <w:noProof w:val="0"/>
          <w:sz w:val="24"/>
          <w:szCs w:val="24"/>
          <w:lang w:eastAsia="ja-JP"/>
        </w:rPr>
        <w:t>90</w:t>
      </w:r>
      <w:r w:rsidR="000A10AF"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   </w:t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 w:rsidR="004F3ABB">
        <w:rPr>
          <w:rFonts w:ascii="Arial" w:hAnsi="Arial" w:cs="Arial"/>
          <w:noProof w:val="0"/>
          <w:sz w:val="22"/>
        </w:rPr>
        <w:tab/>
      </w:r>
      <w:r w:rsidR="00435DC8">
        <w:rPr>
          <w:rFonts w:ascii="Arial" w:hAnsi="Arial" w:cs="Arial"/>
          <w:noProof w:val="0"/>
          <w:sz w:val="22"/>
        </w:rPr>
        <w:tab/>
        <w:t xml:space="preserve">   </w:t>
      </w:r>
      <w:r w:rsidR="009C61F8" w:rsidRPr="009C61F8">
        <w:rPr>
          <w:rFonts w:ascii="Arial" w:hAnsi="Arial" w:cs="Arial"/>
          <w:noProof w:val="0"/>
          <w:sz w:val="22"/>
        </w:rPr>
        <w:t>R4-1901096</w:t>
      </w:r>
      <w:bookmarkStart w:id="1" w:name="_GoBack"/>
      <w:bookmarkEnd w:id="1"/>
    </w:p>
    <w:p w14:paraId="30713DA4" w14:textId="77777777" w:rsidR="008A4A6F" w:rsidRPr="0083294C" w:rsidRDefault="008978E4" w:rsidP="008A4A6F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sz w:val="22"/>
          <w:lang w:eastAsia="zh-CN"/>
        </w:rPr>
      </w:pPr>
      <w:r w:rsidRPr="008978E4">
        <w:rPr>
          <w:rFonts w:ascii="Arial" w:eastAsia="宋体" w:hAnsi="Arial"/>
          <w:b/>
          <w:sz w:val="24"/>
          <w:lang w:val="en-US" w:eastAsia="zh-CN"/>
        </w:rPr>
        <w:t>Athens, Greece, 25 February - 1 March, 2019</w:t>
      </w:r>
    </w:p>
    <w:bookmarkEnd w:id="0"/>
    <w:p w14:paraId="0356815E" w14:textId="77777777" w:rsidR="008A4A6F" w:rsidRPr="0083294C" w:rsidRDefault="008A4A6F" w:rsidP="008A4A6F">
      <w:pPr>
        <w:pStyle w:val="a4"/>
        <w:jc w:val="both"/>
        <w:rPr>
          <w:rFonts w:ascii="Arial" w:hAnsi="Arial" w:cs="Arial"/>
          <w:noProof w:val="0"/>
          <w:lang w:val="en-GB"/>
        </w:rPr>
      </w:pPr>
    </w:p>
    <w:p w14:paraId="28AD9CE3" w14:textId="77777777" w:rsidR="008A4A6F" w:rsidRPr="008C1233" w:rsidRDefault="008A4A6F" w:rsidP="009630B9">
      <w:pPr>
        <w:ind w:left="2100" w:hanging="210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Title:</w:t>
      </w:r>
      <w:r w:rsidR="009630B9">
        <w:rPr>
          <w:rFonts w:ascii="Arial" w:hAnsi="Arial" w:cs="Arial"/>
          <w:sz w:val="24"/>
        </w:rPr>
        <w:t xml:space="preserve"> </w:t>
      </w:r>
      <w:r w:rsidR="009630B9">
        <w:rPr>
          <w:rFonts w:ascii="Arial" w:hAnsi="Arial" w:cs="Arial"/>
          <w:sz w:val="24"/>
        </w:rPr>
        <w:tab/>
      </w:r>
      <w:r w:rsidR="00664C6A">
        <w:rPr>
          <w:rFonts w:ascii="Arial" w:hAnsi="Arial" w:cs="Arial"/>
          <w:sz w:val="24"/>
        </w:rPr>
        <w:t>D</w:t>
      </w:r>
      <w:r w:rsidR="00664C6A" w:rsidRPr="00664C6A">
        <w:rPr>
          <w:rFonts w:ascii="Arial" w:hAnsi="Arial" w:cs="Arial"/>
          <w:sz w:val="24"/>
        </w:rPr>
        <w:t>iscussion on the remaining issues of UE measurement capability</w:t>
      </w:r>
    </w:p>
    <w:p w14:paraId="27686A9C" w14:textId="77777777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 xml:space="preserve">Source: </w:t>
      </w:r>
      <w:r w:rsidRPr="0083294C">
        <w:rPr>
          <w:rFonts w:ascii="Arial" w:hAnsi="Arial" w:cs="Arial"/>
          <w:b/>
          <w:sz w:val="24"/>
        </w:rPr>
        <w:tab/>
      </w:r>
      <w:r w:rsidR="005063D2">
        <w:rPr>
          <w:rFonts w:ascii="Arial" w:hAnsi="Arial" w:cs="Arial"/>
          <w:b/>
          <w:sz w:val="24"/>
        </w:rPr>
        <w:tab/>
      </w:r>
      <w:r w:rsidR="00966C0F">
        <w:rPr>
          <w:rFonts w:ascii="Arial" w:hAnsi="Arial" w:cs="Arial"/>
          <w:sz w:val="24"/>
        </w:rPr>
        <w:t>Huawei, His</w:t>
      </w:r>
      <w:r w:rsidRPr="0083294C">
        <w:rPr>
          <w:rFonts w:ascii="Arial" w:hAnsi="Arial" w:cs="Arial"/>
          <w:sz w:val="24"/>
        </w:rPr>
        <w:t>ilicon</w:t>
      </w:r>
    </w:p>
    <w:p w14:paraId="6BCEBAB6" w14:textId="77777777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Agenda item: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</w:p>
    <w:p w14:paraId="74DDC25D" w14:textId="77777777" w:rsidR="008A4A6F" w:rsidRPr="0083294C" w:rsidRDefault="008A4A6F" w:rsidP="008A4A6F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Document for: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Pr="0083294C">
        <w:rPr>
          <w:rFonts w:ascii="Arial" w:hAnsi="Arial" w:cs="Arial"/>
          <w:sz w:val="24"/>
        </w:rPr>
        <w:t>Discussion</w:t>
      </w:r>
    </w:p>
    <w:p w14:paraId="7A765980" w14:textId="77777777" w:rsidR="00C81E8E" w:rsidRPr="00C560A6" w:rsidRDefault="00C81E8E" w:rsidP="00C81E8E">
      <w:pPr>
        <w:pStyle w:val="1"/>
        <w:jc w:val="both"/>
        <w:rPr>
          <w:rFonts w:ascii="Arial" w:hAnsi="Arial" w:cs="Arial"/>
          <w:lang w:val="en-US"/>
        </w:rPr>
      </w:pPr>
      <w:r w:rsidRPr="00C560A6">
        <w:rPr>
          <w:rFonts w:ascii="Arial" w:hAnsi="Arial" w:cs="Arial"/>
          <w:lang w:val="en-US"/>
        </w:rPr>
        <w:t>Introduction</w:t>
      </w:r>
    </w:p>
    <w:p w14:paraId="29547D1C" w14:textId="77777777" w:rsidR="000A10AF" w:rsidRPr="00D060ED" w:rsidRDefault="00664C6A" w:rsidP="000A10AF">
      <w:pPr>
        <w:jc w:val="both"/>
      </w:pPr>
      <w:r>
        <w:t xml:space="preserve">Discussion on UE measurement capability is nearly finished until RAN4 #88. The agreements reached in RAN4 #88 is given as below: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A10AF" w14:paraId="4BD38862" w14:textId="77777777" w:rsidTr="006572E0">
        <w:tc>
          <w:tcPr>
            <w:tcW w:w="8296" w:type="dxa"/>
          </w:tcPr>
          <w:p w14:paraId="29506D85" w14:textId="77777777" w:rsidR="000A10AF" w:rsidRDefault="000A10AF" w:rsidP="006572E0">
            <w:r>
              <w:rPr>
                <w:rFonts w:eastAsia="MS Mincho"/>
                <w:highlight w:val="green"/>
                <w:lang w:eastAsia="ja-JP"/>
              </w:rPr>
              <w:t>RAN4 #8</w:t>
            </w:r>
            <w:r w:rsidR="008C265E">
              <w:rPr>
                <w:rFonts w:eastAsia="MS Mincho"/>
                <w:highlight w:val="green"/>
                <w:lang w:eastAsia="ja-JP"/>
              </w:rPr>
              <w:t>8</w:t>
            </w:r>
            <w:r>
              <w:rPr>
                <w:rFonts w:eastAsia="MS Mincho"/>
                <w:highlight w:val="green"/>
                <w:lang w:eastAsia="ja-JP"/>
              </w:rPr>
              <w:t xml:space="preserve"> </w:t>
            </w:r>
            <w:r w:rsidRPr="00A9620E">
              <w:rPr>
                <w:rFonts w:eastAsia="MS Mincho" w:hint="eastAsia"/>
                <w:highlight w:val="green"/>
                <w:lang w:eastAsia="ja-JP"/>
              </w:rPr>
              <w:t>Agreements:</w:t>
            </w:r>
            <w:r w:rsidRPr="00410320">
              <w:t xml:space="preserve"> </w:t>
            </w:r>
          </w:p>
          <w:p w14:paraId="0D8652B3" w14:textId="77777777" w:rsidR="00664C6A" w:rsidRDefault="00664C6A" w:rsidP="00664C6A">
            <w:pPr>
              <w:pStyle w:val="aa"/>
              <w:numPr>
                <w:ilvl w:val="0"/>
                <w:numId w:val="34"/>
              </w:numPr>
              <w:ind w:firstLineChars="0"/>
              <w:rPr>
                <w:rFonts w:eastAsia="Times New Roman"/>
              </w:rPr>
            </w:pPr>
            <w:r w:rsidRPr="00664C6A">
              <w:rPr>
                <w:rFonts w:eastAsia="Times New Roman"/>
              </w:rPr>
              <w:t>For each intra-frequency layer the UE shall be capable of monitoring at least 6 cells on a single serving carrier (PCC or PSCC or 1 SCC if PCC/PSCC is in a band different from SCC) out of all the serving carriers configured in the same band.</w:t>
            </w:r>
          </w:p>
          <w:p w14:paraId="751F4629" w14:textId="77777777" w:rsidR="000A10AF" w:rsidRPr="00664C6A" w:rsidRDefault="00664C6A" w:rsidP="00664C6A">
            <w:pPr>
              <w:pStyle w:val="aa"/>
              <w:numPr>
                <w:ilvl w:val="0"/>
                <w:numId w:val="34"/>
              </w:numPr>
              <w:ind w:firstLineChars="0"/>
              <w:rPr>
                <w:rFonts w:eastAsia="Times New Roman"/>
              </w:rPr>
            </w:pPr>
            <w:r w:rsidRPr="00664C6A">
              <w:rPr>
                <w:rFonts w:eastAsia="Times New Roman"/>
              </w:rPr>
              <w:t xml:space="preserve">For each intra-frequency layer, during each layer 1 measurement period, the UE shall be capable of monitoring at least 24 SSB with different SSB index and/or PCI on a single serving carrier (PCC or PSCC or 1 SCC if PCC/PSCC is in a band different from SCC) out of all the serving carriers configured in the same band. UE shall be capable of monitoring 2 SSB(s) on serving cell for each of the other serving carrier(s) in the same band. </w:t>
            </w:r>
            <w:r w:rsidRPr="00664C6A">
              <w:rPr>
                <w:rFonts w:eastAsia="Times New Roman" w:cs="v4.2.0"/>
              </w:rPr>
              <w:t>UE shall be capable of performing SS-RSRP, SS-RSRQ, and SS-SINR on all above-mentioned SSBs</w:t>
            </w:r>
          </w:p>
        </w:tc>
      </w:tr>
    </w:tbl>
    <w:p w14:paraId="0D23EA40" w14:textId="77777777" w:rsidR="004A0F0A" w:rsidRDefault="004A0F0A" w:rsidP="008C7865">
      <w:pPr>
        <w:jc w:val="both"/>
      </w:pPr>
      <w:r>
        <w:rPr>
          <w:rFonts w:hint="eastAsia"/>
        </w:rPr>
        <w:t>And</w:t>
      </w:r>
      <w:r>
        <w:t xml:space="preserve"> in RAN4 #89, RAN4 has the following agreements: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A0F0A" w14:paraId="53201F87" w14:textId="77777777" w:rsidTr="004A0F0A">
        <w:tc>
          <w:tcPr>
            <w:tcW w:w="8296" w:type="dxa"/>
          </w:tcPr>
          <w:p w14:paraId="35DE5A24" w14:textId="77777777" w:rsidR="004A0F0A" w:rsidRPr="009B7599" w:rsidRDefault="004A0F0A" w:rsidP="004A0F0A">
            <w:pPr>
              <w:rPr>
                <w:highlight w:val="green"/>
              </w:rPr>
            </w:pPr>
            <w:r>
              <w:rPr>
                <w:highlight w:val="green"/>
              </w:rPr>
              <w:t xml:space="preserve">RAN4 #89 </w:t>
            </w:r>
            <w:r w:rsidRPr="009B7599">
              <w:rPr>
                <w:highlight w:val="green"/>
              </w:rPr>
              <w:t>Agreement</w:t>
            </w:r>
            <w:r>
              <w:rPr>
                <w:highlight w:val="green"/>
              </w:rPr>
              <w:t>s</w:t>
            </w:r>
            <w:r w:rsidRPr="009B7599">
              <w:rPr>
                <w:highlight w:val="green"/>
              </w:rPr>
              <w:t xml:space="preserve">: </w:t>
            </w:r>
          </w:p>
          <w:p w14:paraId="2E34D618" w14:textId="77777777" w:rsidR="004A0F0A" w:rsidRDefault="004A0F0A" w:rsidP="004A0F0A">
            <w:pPr>
              <w:pStyle w:val="21"/>
            </w:pPr>
            <w:r w:rsidRPr="004A0F0A">
              <w:t xml:space="preserve">For capability related to FR2 SCC selection: </w:t>
            </w:r>
          </w:p>
          <w:p w14:paraId="3C062758" w14:textId="77777777" w:rsidR="004A0F0A" w:rsidRPr="004A0F0A" w:rsidRDefault="004A0F0A" w:rsidP="004A0F0A">
            <w:pPr>
              <w:pStyle w:val="21"/>
              <w:numPr>
                <w:ilvl w:val="0"/>
                <w:numId w:val="41"/>
              </w:numPr>
              <w:rPr>
                <w:b/>
              </w:rPr>
            </w:pPr>
            <w:r w:rsidRPr="004A0F0A">
              <w:t>Completely up to UE implementation if none or more than one SCC are to be measured in Rel-15. It can be FFS in the future release.</w:t>
            </w:r>
            <w:r>
              <w:t xml:space="preserve"> </w:t>
            </w:r>
          </w:p>
        </w:tc>
      </w:tr>
    </w:tbl>
    <w:p w14:paraId="12665F9A" w14:textId="77777777" w:rsidR="008C7865" w:rsidRPr="003E4003" w:rsidRDefault="00664C6A" w:rsidP="008C7865">
      <w:pPr>
        <w:jc w:val="both"/>
      </w:pPr>
      <w:r>
        <w:t xml:space="preserve">In </w:t>
      </w:r>
      <w:r w:rsidR="000A10AF">
        <w:t xml:space="preserve">this contribution, we continue to discuss </w:t>
      </w:r>
      <w:r w:rsidR="004A0F0A">
        <w:rPr>
          <w:rFonts w:hint="eastAsia"/>
        </w:rPr>
        <w:t>this issue</w:t>
      </w:r>
      <w:r w:rsidR="004A0F0A">
        <w:t>.</w:t>
      </w:r>
    </w:p>
    <w:p w14:paraId="7C6E5D73" w14:textId="77777777" w:rsidR="00945091" w:rsidRPr="00D83FD1" w:rsidRDefault="008C7865" w:rsidP="003E4003">
      <w:pPr>
        <w:pStyle w:val="1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Discussion on </w:t>
      </w:r>
      <w:r w:rsidR="004A0F0A">
        <w:rPr>
          <w:rFonts w:ascii="Arial" w:eastAsiaTheme="minorEastAsia" w:hAnsi="Arial" w:cs="Arial"/>
          <w:lang w:val="en-US" w:eastAsia="zh-CN"/>
        </w:rPr>
        <w:t>FR2 SCC selection</w:t>
      </w:r>
    </w:p>
    <w:p w14:paraId="3104020F" w14:textId="77777777" w:rsidR="003E4003" w:rsidRDefault="004A0F0A" w:rsidP="003E4003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Although RAN4 has agreed that selection of FR2 full-capability SCC is completely up to UE implementation in R15. However, we believe that it is necessary </w:t>
      </w:r>
      <w:r w:rsidR="00D20D4D">
        <w:rPr>
          <w:rFonts w:eastAsia="MS Mincho"/>
          <w:lang w:eastAsia="ja-JP"/>
        </w:rPr>
        <w:t xml:space="preserve">to revise this conclusion since leaving the selection of SCC to UE implementation may have impact on intra-frequency measurements and </w:t>
      </w:r>
      <w:r w:rsidR="005D7F11">
        <w:rPr>
          <w:rFonts w:eastAsia="MS Mincho"/>
          <w:lang w:eastAsia="ja-JP"/>
        </w:rPr>
        <w:t>intra-NR</w:t>
      </w:r>
      <w:r w:rsidR="00D20D4D">
        <w:rPr>
          <w:rFonts w:eastAsia="MS Mincho"/>
          <w:lang w:eastAsia="ja-JP"/>
        </w:rPr>
        <w:t xml:space="preserve"> handover.</w:t>
      </w:r>
    </w:p>
    <w:p w14:paraId="01CFC7E7" w14:textId="77777777" w:rsidR="0013490B" w:rsidRPr="00033BFB" w:rsidRDefault="00D20D4D" w:rsidP="00EB4BE3">
      <w:pPr>
        <w:pStyle w:val="2"/>
      </w:pPr>
      <w:r>
        <w:lastRenderedPageBreak/>
        <w:t>Impact on intra-frequency measurements</w:t>
      </w:r>
    </w:p>
    <w:p w14:paraId="1B34A337" w14:textId="77777777" w:rsidR="00FC7B13" w:rsidRDefault="00D20D4D" w:rsidP="00D12842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Consider the scenario given in fig. 1. Assume in a FR2 band there are </w:t>
      </w:r>
      <w:r w:rsidR="00EB4BE3">
        <w:rPr>
          <w:rFonts w:eastAsiaTheme="minorEastAsia"/>
        </w:rPr>
        <w:t xml:space="preserve">two SCCs and no PCC or PSCC. </w:t>
      </w:r>
      <w:r w:rsidR="00EB4BE3">
        <w:rPr>
          <w:rFonts w:eastAsiaTheme="minorEastAsia" w:hint="eastAsia"/>
        </w:rPr>
        <w:t>E</w:t>
      </w:r>
      <w:r w:rsidR="00EB4BE3">
        <w:rPr>
          <w:rFonts w:eastAsiaTheme="minorEastAsia"/>
        </w:rPr>
        <w:t xml:space="preserve">ach SCC has its corresponding MO. MO #1 is further associated to a report configuration while MO #2 is not. If </w:t>
      </w:r>
      <w:r w:rsidR="00FC7B13">
        <w:rPr>
          <w:rFonts w:eastAsiaTheme="minorEastAsia"/>
        </w:rPr>
        <w:t xml:space="preserve">the </w:t>
      </w:r>
      <w:r w:rsidR="00EB4BE3">
        <w:rPr>
          <w:rFonts w:eastAsiaTheme="minorEastAsia"/>
        </w:rPr>
        <w:t>selection of FR2 full-capability SCC is left to UE</w:t>
      </w:r>
      <w:r w:rsidR="00FC7B13">
        <w:rPr>
          <w:rFonts w:eastAsiaTheme="minorEastAsia"/>
        </w:rPr>
        <w:t>,</w:t>
      </w:r>
      <w:r w:rsidR="00EB4BE3">
        <w:rPr>
          <w:rFonts w:eastAsiaTheme="minorEastAsia"/>
        </w:rPr>
        <w:t xml:space="preserve"> then there </w:t>
      </w:r>
      <w:r w:rsidR="00FC7B13">
        <w:rPr>
          <w:rFonts w:eastAsiaTheme="minorEastAsia"/>
        </w:rPr>
        <w:t>will be</w:t>
      </w:r>
      <w:r w:rsidR="00EB4BE3">
        <w:rPr>
          <w:rFonts w:eastAsiaTheme="minorEastAsia"/>
        </w:rPr>
        <w:t xml:space="preserve"> a possibility that UE chooses to monitor 6 cells are 24 SSBs on SCC #2</w:t>
      </w:r>
      <w:r w:rsidR="00042F58">
        <w:rPr>
          <w:rFonts w:eastAsiaTheme="minorEastAsia"/>
        </w:rPr>
        <w:t xml:space="preserve">. </w:t>
      </w:r>
    </w:p>
    <w:p w14:paraId="4D663499" w14:textId="77777777" w:rsidR="002E2685" w:rsidRPr="002E2685" w:rsidRDefault="002E2685" w:rsidP="002E2685">
      <w:pPr>
        <w:jc w:val="center"/>
      </w:pPr>
      <w:r>
        <w:object w:dxaOrig="20370" w:dyaOrig="10035" w14:anchorId="61679A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pt;height:204.3pt" o:ole="">
            <v:imagedata r:id="rId8" o:title=""/>
          </v:shape>
          <o:OLEObject Type="Embed" ProgID="Visio.Drawing.15" ShapeID="_x0000_i1025" DrawAspect="Content" ObjectID="_1611767662" r:id="rId9"/>
        </w:object>
      </w:r>
      <w:r w:rsidRPr="002E2685">
        <w:rPr>
          <w:rFonts w:hint="eastAsia"/>
          <w:b/>
        </w:rPr>
        <w:t>Fig</w:t>
      </w:r>
      <w:r w:rsidRPr="002E2685">
        <w:rPr>
          <w:b/>
        </w:rPr>
        <w:t>ure 1</w:t>
      </w:r>
      <w:r>
        <w:rPr>
          <w:b/>
        </w:rPr>
        <w:t>. D</w:t>
      </w:r>
      <w:r w:rsidRPr="002E2685">
        <w:rPr>
          <w:b/>
        </w:rPr>
        <w:t>emonstration of the consequence of leaving selection of full-capability SCC to UE</w:t>
      </w:r>
    </w:p>
    <w:p w14:paraId="64FCA43A" w14:textId="77777777" w:rsidR="00D12842" w:rsidRDefault="00042F58" w:rsidP="00D12842">
      <w:pPr>
        <w:jc w:val="both"/>
        <w:rPr>
          <w:rFonts w:eastAsiaTheme="minorEastAsia"/>
        </w:rPr>
      </w:pPr>
      <w:r>
        <w:rPr>
          <w:rFonts w:eastAsiaTheme="minorEastAsia"/>
        </w:rPr>
        <w:t>Thing is, according to the measurement reporting procedure described in 38.331, reporting of neighbor cell measurement results only occurs in two situations:</w:t>
      </w:r>
    </w:p>
    <w:p w14:paraId="4B352C52" w14:textId="77777777" w:rsidR="00D12842" w:rsidRPr="00EB5CD7" w:rsidRDefault="00EB5CD7" w:rsidP="00D12842">
      <w:pPr>
        <w:pStyle w:val="aa"/>
        <w:numPr>
          <w:ilvl w:val="0"/>
          <w:numId w:val="42"/>
        </w:numPr>
        <w:ind w:firstLineChars="0"/>
        <w:jc w:val="both"/>
        <w:rPr>
          <w:rFonts w:eastAsiaTheme="minorEastAsia"/>
        </w:rPr>
      </w:pPr>
      <w:r>
        <w:rPr>
          <w:rFonts w:eastAsiaTheme="minorEastAsia"/>
        </w:rPr>
        <w:t>I</w:t>
      </w:r>
      <w:r w:rsidR="00D12842" w:rsidRPr="00D12842">
        <w:rPr>
          <w:rFonts w:eastAsiaTheme="minorEastAsia"/>
        </w:rPr>
        <w:t xml:space="preserve">f </w:t>
      </w:r>
      <w:r w:rsidR="00D12842" w:rsidRPr="00D12842">
        <w:rPr>
          <w:i/>
        </w:rPr>
        <w:t>reportAddNeighMeas</w:t>
      </w:r>
      <w:r w:rsidR="00D12842">
        <w:t xml:space="preserve"> is included in the mea</w:t>
      </w:r>
      <w:r>
        <w:t xml:space="preserve">sId that trigged the reporting, each serving cells whose MO is referenced by a measId other than the measId triggered reporting in </w:t>
      </w:r>
      <w:r w:rsidRPr="00EB5CD7">
        <w:rPr>
          <w:i/>
        </w:rPr>
        <w:t>measIdList</w:t>
      </w:r>
      <w:r>
        <w:t xml:space="preserve"> (i.e. its MO is associated to a report configuration) shall report the results of its best intra-frequency neighbor</w:t>
      </w:r>
      <w:r w:rsidR="008F74E5">
        <w:t xml:space="preserve"> cell to NW. </w:t>
      </w:r>
    </w:p>
    <w:p w14:paraId="51F22B2B" w14:textId="77777777" w:rsidR="00EB5CD7" w:rsidRPr="00EB5CD7" w:rsidRDefault="00EB5CD7" w:rsidP="00D12842">
      <w:pPr>
        <w:pStyle w:val="aa"/>
        <w:numPr>
          <w:ilvl w:val="0"/>
          <w:numId w:val="42"/>
        </w:numPr>
        <w:ind w:firstLineChars="0"/>
        <w:jc w:val="both"/>
        <w:rPr>
          <w:rFonts w:eastAsiaTheme="minorEastAsia"/>
        </w:rPr>
      </w:pPr>
      <w:r>
        <w:t>UE shall report the results of neighbor cells on the frequency indicated by the MO referenced in the measId that trigged the reporting.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B5CD7" w14:paraId="43727991" w14:textId="77777777" w:rsidTr="00EB5CD7">
        <w:tc>
          <w:tcPr>
            <w:tcW w:w="8296" w:type="dxa"/>
          </w:tcPr>
          <w:p w14:paraId="526EE13E" w14:textId="77777777" w:rsidR="00EB5CD7" w:rsidRPr="00EB5CD7" w:rsidRDefault="00EB5CD7" w:rsidP="00EB5CD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Theme="minorEastAsia" w:cs="Times New Roman"/>
                <w:lang w:val="en-GB"/>
              </w:rPr>
            </w:pPr>
            <w:r w:rsidRPr="00EB5CD7">
              <w:rPr>
                <w:rFonts w:eastAsiaTheme="minorEastAsia" w:cs="Times New Roman"/>
                <w:highlight w:val="green"/>
                <w:lang w:val="en-GB"/>
              </w:rPr>
              <w:t xml:space="preserve">TS </w:t>
            </w:r>
            <w:r w:rsidRPr="00EB5CD7">
              <w:rPr>
                <w:rFonts w:eastAsiaTheme="minorEastAsia" w:cs="Times New Roman" w:hint="eastAsia"/>
                <w:highlight w:val="green"/>
                <w:lang w:val="en-GB"/>
              </w:rPr>
              <w:t>38.</w:t>
            </w:r>
            <w:r w:rsidRPr="00EB5CD7">
              <w:rPr>
                <w:rFonts w:eastAsiaTheme="minorEastAsia" w:cs="Times New Roman"/>
                <w:highlight w:val="green"/>
                <w:lang w:val="en-GB"/>
              </w:rPr>
              <w:t>331</w:t>
            </w:r>
          </w:p>
          <w:p w14:paraId="02C3F273" w14:textId="77777777" w:rsidR="00EB5CD7" w:rsidRPr="00EB5CD7" w:rsidRDefault="00EB5CD7" w:rsidP="00EB5CD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 w:cs="Times New Roman"/>
                <w:lang w:val="en-GB" w:eastAsia="x-none"/>
              </w:rPr>
            </w:pPr>
            <w:r w:rsidRPr="00EB5CD7">
              <w:rPr>
                <w:rFonts w:eastAsia="Times New Roman" w:cs="Times New Roman"/>
                <w:highlight w:val="yellow"/>
                <w:lang w:val="en-GB" w:eastAsia="x-none"/>
              </w:rPr>
              <w:t>1&gt;</w:t>
            </w:r>
            <w:r w:rsidRPr="00EB5CD7">
              <w:rPr>
                <w:rFonts w:eastAsia="Times New Roman" w:cs="Times New Roman"/>
                <w:highlight w:val="yellow"/>
                <w:lang w:val="en-GB" w:eastAsia="x-none"/>
              </w:rPr>
              <w:tab/>
              <w:t xml:space="preserve">if the </w:t>
            </w:r>
            <w:r w:rsidRPr="00EB5CD7">
              <w:rPr>
                <w:rFonts w:eastAsia="Times New Roman" w:cs="Times New Roman"/>
                <w:i/>
                <w:highlight w:val="yellow"/>
                <w:lang w:val="en-GB" w:eastAsia="x-none"/>
              </w:rPr>
              <w:t>reportConfig</w:t>
            </w:r>
            <w:r w:rsidRPr="00EB5CD7">
              <w:rPr>
                <w:rFonts w:eastAsia="Times New Roman" w:cs="Times New Roman"/>
                <w:highlight w:val="yellow"/>
                <w:lang w:val="en-GB" w:eastAsia="x-none"/>
              </w:rPr>
              <w:t xml:space="preserve"> associated with the </w:t>
            </w:r>
            <w:r w:rsidRPr="00EB5CD7">
              <w:rPr>
                <w:rFonts w:eastAsia="Times New Roman" w:cs="Times New Roman"/>
                <w:i/>
                <w:highlight w:val="yellow"/>
                <w:lang w:val="en-GB" w:eastAsia="x-none"/>
              </w:rPr>
              <w:t>measId</w:t>
            </w:r>
            <w:r w:rsidRPr="00EB5CD7">
              <w:rPr>
                <w:rFonts w:eastAsia="Times New Roman" w:cs="Times New Roman"/>
                <w:highlight w:val="yellow"/>
                <w:lang w:val="en-GB" w:eastAsia="x-none"/>
              </w:rPr>
              <w:t xml:space="preserve"> that triggered the measurement reporting includes </w:t>
            </w:r>
            <w:r w:rsidRPr="00EB5CD7">
              <w:rPr>
                <w:rFonts w:eastAsia="Times New Roman" w:cs="Times New Roman"/>
                <w:i/>
                <w:highlight w:val="yellow"/>
                <w:lang w:val="en-GB" w:eastAsia="x-none"/>
              </w:rPr>
              <w:t>reportAddNeighMeas</w:t>
            </w:r>
            <w:r w:rsidRPr="00EB5CD7">
              <w:rPr>
                <w:rFonts w:eastAsia="Times New Roman" w:cs="Times New Roman"/>
                <w:highlight w:val="yellow"/>
                <w:lang w:val="en-GB" w:eastAsia="x-none"/>
              </w:rPr>
              <w:t>:</w:t>
            </w:r>
          </w:p>
          <w:p w14:paraId="3238E0F9" w14:textId="77777777" w:rsidR="00EB5CD7" w:rsidRPr="00EB5CD7" w:rsidRDefault="00EB5CD7" w:rsidP="00EB5CD7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 w:cs="Times New Roman"/>
                <w:lang w:val="en-GB" w:eastAsia="x-none"/>
              </w:rPr>
            </w:pPr>
            <w:r w:rsidRPr="00EB5CD7">
              <w:rPr>
                <w:rFonts w:eastAsia="Times New Roman" w:cs="Times New Roman"/>
                <w:lang w:val="en-GB" w:eastAsia="x-none"/>
              </w:rPr>
              <w:t xml:space="preserve">2&gt;for each serving cell </w:t>
            </w:r>
            <w:r w:rsidRPr="00EB5CD7">
              <w:rPr>
                <w:rFonts w:eastAsia="Times New Roman" w:cs="Times New Roman"/>
                <w:i/>
                <w:lang w:val="en-GB" w:eastAsia="x-none"/>
              </w:rPr>
              <w:t>measObjectId</w:t>
            </w:r>
            <w:r w:rsidRPr="00EB5CD7">
              <w:rPr>
                <w:rFonts w:eastAsia="Times New Roman" w:cs="Times New Roman"/>
                <w:lang w:val="en-GB" w:eastAsia="x-none"/>
              </w:rPr>
              <w:t xml:space="preserve"> referenced in the </w:t>
            </w:r>
            <w:r w:rsidRPr="00EB5CD7">
              <w:rPr>
                <w:rFonts w:eastAsia="Times New Roman" w:cs="Times New Roman"/>
                <w:i/>
                <w:lang w:val="en-GB" w:eastAsia="x-none"/>
              </w:rPr>
              <w:t>measIdList</w:t>
            </w:r>
            <w:r w:rsidRPr="00EB5CD7">
              <w:rPr>
                <w:rFonts w:eastAsia="Times New Roman" w:cs="Times New Roman"/>
                <w:lang w:val="en-GB" w:eastAsia="x-none"/>
              </w:rPr>
              <w:t xml:space="preserve">, other than the </w:t>
            </w:r>
            <w:r w:rsidRPr="00EB5CD7">
              <w:rPr>
                <w:rFonts w:eastAsia="Times New Roman" w:cs="Times New Roman"/>
                <w:i/>
                <w:lang w:val="en-GB" w:eastAsia="x-none"/>
              </w:rPr>
              <w:t>measObjectId</w:t>
            </w:r>
            <w:r w:rsidRPr="00EB5CD7">
              <w:rPr>
                <w:rFonts w:eastAsia="Times New Roman" w:cs="Times New Roman"/>
                <w:lang w:val="en-GB" w:eastAsia="x-none"/>
              </w:rPr>
              <w:t xml:space="preserve"> corresponding with the </w:t>
            </w:r>
            <w:r w:rsidRPr="00EB5CD7">
              <w:rPr>
                <w:rFonts w:eastAsia="Times New Roman" w:cs="Times New Roman"/>
                <w:i/>
                <w:lang w:val="en-GB" w:eastAsia="x-none"/>
              </w:rPr>
              <w:t>measId</w:t>
            </w:r>
            <w:r w:rsidRPr="00EB5CD7">
              <w:rPr>
                <w:rFonts w:eastAsia="Times New Roman" w:cs="Times New Roman"/>
                <w:lang w:val="en-GB" w:eastAsia="x-none"/>
              </w:rPr>
              <w:t xml:space="preserve"> that triggered the measurement reporting:</w:t>
            </w:r>
          </w:p>
          <w:p w14:paraId="4B1B76F7" w14:textId="77777777" w:rsidR="00EB5CD7" w:rsidRPr="00EB5CD7" w:rsidRDefault="00EB5CD7" w:rsidP="00EB5CD7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 w:cs="Times New Roman"/>
                <w:lang w:val="en-GB" w:eastAsia="x-none"/>
              </w:rPr>
            </w:pPr>
            <w:r w:rsidRPr="00EB5CD7">
              <w:rPr>
                <w:rFonts w:eastAsia="Times New Roman" w:cs="Times New Roman"/>
                <w:lang w:val="en-GB" w:eastAsia="ko-KR"/>
              </w:rPr>
              <w:t>3&gt;</w:t>
            </w:r>
            <w:r w:rsidRPr="00EB5CD7">
              <w:rPr>
                <w:rFonts w:eastAsia="Times New Roman" w:cs="Times New Roman"/>
                <w:lang w:val="en-GB" w:eastAsia="ko-KR"/>
              </w:rPr>
              <w:tab/>
              <w:t xml:space="preserve">set the </w:t>
            </w:r>
            <w:r w:rsidRPr="00EB5CD7">
              <w:rPr>
                <w:rFonts w:eastAsia="Times New Roman" w:cs="Times New Roman"/>
                <w:i/>
                <w:lang w:val="en-GB" w:eastAsia="ko-KR"/>
              </w:rPr>
              <w:t>measResultBestNeighCell</w:t>
            </w:r>
            <w:r w:rsidRPr="00EB5CD7">
              <w:rPr>
                <w:rFonts w:eastAsia="Times New Roman" w:cs="Times New Roman"/>
                <w:lang w:val="en-GB" w:eastAsia="ko-KR"/>
              </w:rPr>
              <w:t xml:space="preserve"> within </w:t>
            </w:r>
            <w:r w:rsidRPr="00EB5CD7">
              <w:rPr>
                <w:rFonts w:eastAsia="Times New Roman" w:cs="Times New Roman"/>
                <w:i/>
                <w:lang w:val="en-GB" w:eastAsia="x-none"/>
              </w:rPr>
              <w:t xml:space="preserve">measResultServingMOList </w:t>
            </w:r>
            <w:r w:rsidRPr="00EB5CD7">
              <w:rPr>
                <w:rFonts w:eastAsia="Times New Roman" w:cs="Times New Roman"/>
                <w:lang w:val="en-GB" w:eastAsia="ko-KR"/>
              </w:rPr>
              <w:t xml:space="preserve">to include the </w:t>
            </w:r>
            <w:r w:rsidRPr="00EB5CD7">
              <w:rPr>
                <w:rFonts w:eastAsia="Times New Roman" w:cs="Times New Roman"/>
                <w:i/>
                <w:lang w:val="en-GB" w:eastAsia="ko-KR"/>
              </w:rPr>
              <w:t>physCellId</w:t>
            </w:r>
            <w:r w:rsidRPr="00EB5CD7">
              <w:rPr>
                <w:rFonts w:eastAsia="Times New Roman" w:cs="Times New Roman"/>
                <w:lang w:val="en-GB" w:eastAsia="ko-KR"/>
              </w:rPr>
              <w:t xml:space="preserve"> and the available measurement </w:t>
            </w:r>
            <w:r w:rsidRPr="00EB5CD7">
              <w:rPr>
                <w:rFonts w:eastAsia="Times New Roman" w:cs="Times New Roman"/>
                <w:lang w:val="en-GB" w:eastAsia="x-none"/>
              </w:rPr>
              <w:t xml:space="preserve">quantities </w:t>
            </w:r>
            <w:r w:rsidRPr="00EB5CD7">
              <w:rPr>
                <w:rFonts w:eastAsia="Times New Roman" w:cs="Times New Roman"/>
                <w:lang w:val="en-GB" w:eastAsia="ko-KR"/>
              </w:rPr>
              <w:t xml:space="preserve">based on the </w:t>
            </w:r>
            <w:r w:rsidRPr="00EB5CD7">
              <w:rPr>
                <w:rFonts w:eastAsia="宋体" w:cs="Times New Roman"/>
                <w:i/>
                <w:lang w:val="en-GB"/>
              </w:rPr>
              <w:t>reportQuantityCell</w:t>
            </w:r>
            <w:r w:rsidRPr="00EB5CD7">
              <w:rPr>
                <w:rFonts w:eastAsia="宋体" w:cs="Times New Roman"/>
                <w:lang w:val="en-GB"/>
              </w:rPr>
              <w:t xml:space="preserve"> </w:t>
            </w:r>
            <w:r w:rsidRPr="00EB5CD7">
              <w:rPr>
                <w:rFonts w:eastAsia="Times New Roman" w:cs="Times New Roman"/>
                <w:lang w:val="en-GB" w:eastAsia="x-none"/>
              </w:rPr>
              <w:t xml:space="preserve">and </w:t>
            </w:r>
            <w:r w:rsidRPr="00EB5CD7">
              <w:rPr>
                <w:rFonts w:eastAsia="Times New Roman" w:cs="Times New Roman"/>
                <w:i/>
                <w:lang w:val="en-GB" w:eastAsia="x-none"/>
              </w:rPr>
              <w:t>rsType</w:t>
            </w:r>
            <w:r w:rsidRPr="00EB5CD7">
              <w:rPr>
                <w:rFonts w:eastAsia="Times New Roman" w:cs="Times New Roman"/>
                <w:lang w:val="en-GB" w:eastAsia="x-none"/>
              </w:rPr>
              <w:t xml:space="preserve"> indicated in </w:t>
            </w:r>
            <w:r w:rsidRPr="00EB5CD7">
              <w:rPr>
                <w:rFonts w:eastAsia="Times New Roman" w:cs="Times New Roman"/>
                <w:i/>
                <w:lang w:val="en-GB" w:eastAsia="x-none"/>
              </w:rPr>
              <w:t xml:space="preserve">reportConfig </w:t>
            </w:r>
            <w:r w:rsidRPr="00EB5CD7">
              <w:rPr>
                <w:rFonts w:eastAsia="Times New Roman" w:cs="Times New Roman"/>
                <w:lang w:val="en-GB" w:eastAsia="x-none"/>
              </w:rPr>
              <w:t xml:space="preserve">of the </w:t>
            </w:r>
            <w:r w:rsidRPr="00EB5CD7">
              <w:rPr>
                <w:rFonts w:eastAsia="Times New Roman" w:cs="Times New Roman"/>
                <w:lang w:val="en-GB" w:eastAsia="ko-KR"/>
              </w:rPr>
              <w:t xml:space="preserve">non-serving cell </w:t>
            </w:r>
            <w:r w:rsidRPr="00EB5CD7">
              <w:rPr>
                <w:rFonts w:eastAsia="Times New Roman" w:cs="Times New Roman"/>
                <w:lang w:val="en-GB" w:eastAsia="x-none"/>
              </w:rPr>
              <w:t xml:space="preserve">corresponding to the concerned </w:t>
            </w:r>
            <w:r w:rsidRPr="00EB5CD7">
              <w:rPr>
                <w:rFonts w:eastAsia="Times New Roman" w:cs="Times New Roman"/>
                <w:i/>
                <w:lang w:val="en-GB" w:eastAsia="x-none"/>
              </w:rPr>
              <w:t>measObjectNR</w:t>
            </w:r>
            <w:r w:rsidRPr="00EB5CD7">
              <w:rPr>
                <w:rFonts w:eastAsia="Times New Roman" w:cs="Times New Roman"/>
                <w:lang w:val="en-GB" w:eastAsia="x-none"/>
              </w:rPr>
              <w:t xml:space="preserve">with the highest measured RSRP if RSRP measurement results are available for cells corresponding to this </w:t>
            </w:r>
            <w:r w:rsidRPr="00EB5CD7">
              <w:rPr>
                <w:rFonts w:eastAsia="Times New Roman" w:cs="Times New Roman"/>
                <w:i/>
                <w:lang w:val="en-GB" w:eastAsia="x-none"/>
              </w:rPr>
              <w:t>measObjectNR</w:t>
            </w:r>
            <w:r w:rsidRPr="00EB5CD7">
              <w:rPr>
                <w:rFonts w:eastAsia="Times New Roman" w:cs="Times New Roman"/>
                <w:lang w:val="en-GB" w:eastAsia="x-none"/>
              </w:rPr>
              <w:t xml:space="preserve">, otherwise with the </w:t>
            </w:r>
            <w:r w:rsidRPr="00EB5CD7">
              <w:rPr>
                <w:rFonts w:eastAsia="Times New Roman" w:cs="Times New Roman"/>
                <w:lang w:val="en-GB" w:eastAsia="x-none"/>
              </w:rPr>
              <w:lastRenderedPageBreak/>
              <w:t xml:space="preserve">highest measured RSRQ if RSRQ measurement results are available for cells corresponding to this </w:t>
            </w:r>
            <w:r w:rsidRPr="00EB5CD7">
              <w:rPr>
                <w:rFonts w:eastAsia="Times New Roman" w:cs="Times New Roman"/>
                <w:i/>
                <w:lang w:val="en-GB" w:eastAsia="x-none"/>
              </w:rPr>
              <w:t>measObjectNR</w:t>
            </w:r>
            <w:r w:rsidRPr="00EB5CD7">
              <w:rPr>
                <w:rFonts w:eastAsia="Times New Roman" w:cs="Times New Roman"/>
                <w:lang w:val="en-GB" w:eastAsia="x-none"/>
              </w:rPr>
              <w:t xml:space="preserve">, otherwise with the highest measured </w:t>
            </w:r>
            <w:r w:rsidRPr="00EB5CD7">
              <w:rPr>
                <w:rFonts w:eastAsia="等线" w:cs="Times New Roman"/>
                <w:lang w:val="en-GB"/>
              </w:rPr>
              <w:t>SINR</w:t>
            </w:r>
            <w:r w:rsidRPr="00EB5CD7">
              <w:rPr>
                <w:rFonts w:eastAsia="Times New Roman" w:cs="Times New Roman"/>
                <w:lang w:val="en-GB" w:eastAsia="x-none"/>
              </w:rPr>
              <w:t>;</w:t>
            </w:r>
          </w:p>
          <w:p w14:paraId="77AFCFA6" w14:textId="77777777" w:rsidR="00EB5CD7" w:rsidRPr="00EB5CD7" w:rsidRDefault="00EB5CD7" w:rsidP="00EB5CD7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 w:cs="Times New Roman"/>
                <w:lang w:val="en-GB" w:eastAsia="x-none"/>
              </w:rPr>
            </w:pPr>
            <w:r>
              <w:rPr>
                <w:rFonts w:eastAsia="Times New Roman" w:cs="Times New Roman"/>
                <w:lang w:val="en-GB" w:eastAsia="ko-KR"/>
              </w:rPr>
              <w:t>…</w:t>
            </w:r>
          </w:p>
          <w:p w14:paraId="2EBDFF0E" w14:textId="77777777" w:rsidR="00EB5CD7" w:rsidRPr="00EB5CD7" w:rsidRDefault="00EB5CD7" w:rsidP="00EB5CD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 w:cs="Times New Roman"/>
                <w:lang w:val="en-GB" w:eastAsia="x-none"/>
              </w:rPr>
            </w:pPr>
            <w:r w:rsidRPr="00EB5CD7">
              <w:rPr>
                <w:rFonts w:eastAsia="Times New Roman" w:cs="Times New Roman"/>
                <w:highlight w:val="yellow"/>
                <w:lang w:val="en-GB" w:eastAsia="x-none"/>
              </w:rPr>
              <w:t>1&gt;</w:t>
            </w:r>
            <w:r w:rsidRPr="00EB5CD7">
              <w:rPr>
                <w:rFonts w:eastAsia="Times New Roman" w:cs="Times New Roman"/>
                <w:highlight w:val="yellow"/>
                <w:lang w:val="en-GB" w:eastAsia="x-none"/>
              </w:rPr>
              <w:tab/>
              <w:t>if there is at least one applicable neighbouring cell to report:</w:t>
            </w:r>
          </w:p>
          <w:p w14:paraId="49EE775B" w14:textId="77777777" w:rsidR="00EB5CD7" w:rsidRPr="00EB5CD7" w:rsidRDefault="00EB5CD7" w:rsidP="00EB5CD7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 w:cs="Times New Roman"/>
                <w:lang w:val="en-GB" w:eastAsia="x-none"/>
              </w:rPr>
            </w:pPr>
            <w:r w:rsidRPr="00EB5CD7">
              <w:rPr>
                <w:rFonts w:eastAsia="Times New Roman" w:cs="Times New Roman"/>
                <w:lang w:val="en-GB" w:eastAsia="x-none"/>
              </w:rPr>
              <w:t>2&gt;</w:t>
            </w:r>
            <w:r w:rsidRPr="00EB5CD7">
              <w:rPr>
                <w:rFonts w:eastAsia="Times New Roman" w:cs="Times New Roman"/>
                <w:lang w:val="en-GB" w:eastAsia="x-none"/>
              </w:rPr>
              <w:tab/>
              <w:t xml:space="preserve">if the </w:t>
            </w:r>
            <w:r w:rsidRPr="00EB5CD7">
              <w:rPr>
                <w:rFonts w:eastAsia="Times New Roman" w:cs="Times New Roman"/>
                <w:i/>
                <w:lang w:val="en-GB" w:eastAsia="x-none"/>
              </w:rPr>
              <w:t>reportType</w:t>
            </w:r>
            <w:r w:rsidRPr="00EB5CD7">
              <w:rPr>
                <w:rFonts w:eastAsia="Times New Roman" w:cs="Times New Roman"/>
                <w:lang w:val="en-GB" w:eastAsia="x-none"/>
              </w:rPr>
              <w:t xml:space="preserve"> is set to </w:t>
            </w:r>
            <w:r w:rsidRPr="00EB5CD7">
              <w:rPr>
                <w:rFonts w:eastAsia="Times New Roman" w:cs="Times New Roman"/>
                <w:i/>
                <w:lang w:val="en-GB" w:eastAsia="x-none"/>
              </w:rPr>
              <w:t>eventTriggered</w:t>
            </w:r>
            <w:r w:rsidRPr="00EB5CD7">
              <w:rPr>
                <w:rFonts w:eastAsia="Times New Roman" w:cs="Times New Roman"/>
                <w:lang w:val="en-GB" w:eastAsia="x-none"/>
              </w:rPr>
              <w:t xml:space="preserve"> or </w:t>
            </w:r>
            <w:r w:rsidRPr="00EB5CD7">
              <w:rPr>
                <w:rFonts w:eastAsia="Times New Roman" w:cs="Times New Roman"/>
                <w:i/>
                <w:lang w:val="en-GB" w:eastAsia="x-none"/>
              </w:rPr>
              <w:t>periodical</w:t>
            </w:r>
            <w:r w:rsidRPr="00EB5CD7">
              <w:rPr>
                <w:rFonts w:eastAsia="Times New Roman" w:cs="Times New Roman"/>
                <w:lang w:val="en-GB" w:eastAsia="x-none"/>
              </w:rPr>
              <w:t>:</w:t>
            </w:r>
          </w:p>
          <w:p w14:paraId="5C65AB88" w14:textId="77777777" w:rsidR="00EB5CD7" w:rsidRPr="002E2685" w:rsidRDefault="00EB5CD7" w:rsidP="002E2685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 w:cs="Times New Roman"/>
                <w:lang w:val="en-GB" w:eastAsia="x-none"/>
              </w:rPr>
            </w:pPr>
            <w:r w:rsidRPr="00EB5CD7">
              <w:rPr>
                <w:rFonts w:eastAsia="Times New Roman" w:cs="Times New Roman"/>
                <w:lang w:val="en-GB" w:eastAsia="x-none"/>
              </w:rPr>
              <w:t>3&gt;</w:t>
            </w:r>
            <w:r w:rsidRPr="00EB5CD7">
              <w:rPr>
                <w:rFonts w:eastAsia="Times New Roman" w:cs="Times New Roman"/>
                <w:lang w:val="en-GB" w:eastAsia="x-none"/>
              </w:rPr>
              <w:tab/>
              <w:t xml:space="preserve">set the </w:t>
            </w:r>
            <w:r w:rsidRPr="00EB5CD7">
              <w:rPr>
                <w:rFonts w:eastAsia="Times New Roman" w:cs="Times New Roman"/>
                <w:i/>
                <w:lang w:val="en-GB" w:eastAsia="x-none"/>
              </w:rPr>
              <w:t>measResultNeighCells</w:t>
            </w:r>
            <w:r w:rsidRPr="00EB5CD7">
              <w:rPr>
                <w:rFonts w:eastAsia="Times New Roman" w:cs="Times New Roman"/>
                <w:lang w:val="en-GB" w:eastAsia="x-none"/>
              </w:rPr>
              <w:t xml:space="preserve"> to include the best neighbouring cells up to </w:t>
            </w:r>
            <w:r w:rsidRPr="00EB5CD7">
              <w:rPr>
                <w:rFonts w:eastAsia="Times New Roman" w:cs="Times New Roman"/>
                <w:i/>
                <w:lang w:val="en-GB" w:eastAsia="x-none"/>
              </w:rPr>
              <w:t>maxReportCells</w:t>
            </w:r>
            <w:r w:rsidRPr="00EB5CD7">
              <w:rPr>
                <w:rFonts w:eastAsia="Times New Roman" w:cs="Times New Roman"/>
                <w:lang w:val="en-GB" w:eastAsia="x-none"/>
              </w:rPr>
              <w:t xml:space="preserve"> in accordance with the following:</w:t>
            </w:r>
          </w:p>
        </w:tc>
      </w:tr>
    </w:tbl>
    <w:p w14:paraId="19AE7E81" w14:textId="77777777" w:rsidR="00EB5CD7" w:rsidRDefault="008F74E5" w:rsidP="008F74E5">
      <w:pPr>
        <w:jc w:val="both"/>
        <w:rPr>
          <w:rFonts w:eastAsiaTheme="minorEastAsia"/>
        </w:rPr>
      </w:pPr>
      <w:r>
        <w:rPr>
          <w:rFonts w:eastAsiaTheme="minorEastAsia"/>
        </w:rPr>
        <w:lastRenderedPageBreak/>
        <w:t xml:space="preserve">However, results of </w:t>
      </w:r>
      <w:r w:rsidR="00C91582">
        <w:rPr>
          <w:rFonts w:eastAsiaTheme="minorEastAsia"/>
        </w:rPr>
        <w:t>neighbor</w:t>
      </w:r>
      <w:r>
        <w:rPr>
          <w:rFonts w:eastAsiaTheme="minorEastAsia"/>
        </w:rPr>
        <w:t xml:space="preserve"> cells on SCC #2 can’t reported via </w:t>
      </w:r>
      <w:r w:rsidRPr="00EB5CD7">
        <w:rPr>
          <w:rFonts w:eastAsia="Times New Roman" w:cs="Times New Roman"/>
          <w:i/>
          <w:lang w:val="en-GB" w:eastAsia="x-none"/>
        </w:rPr>
        <w:t>measResultNeighCells</w:t>
      </w:r>
      <w:r>
        <w:rPr>
          <w:rFonts w:eastAsia="Times New Roman" w:cs="Times New Roman"/>
          <w:i/>
          <w:lang w:val="en-GB" w:eastAsia="x-none"/>
        </w:rPr>
        <w:t xml:space="preserve"> </w:t>
      </w:r>
      <w:r w:rsidRPr="008F74E5">
        <w:rPr>
          <w:rFonts w:eastAsia="Times New Roman" w:cs="Times New Roman"/>
          <w:lang w:val="en-GB" w:eastAsia="x-none"/>
        </w:rPr>
        <w:t xml:space="preserve">since </w:t>
      </w:r>
      <w:r>
        <w:rPr>
          <w:rFonts w:eastAsiaTheme="minorEastAsia"/>
        </w:rPr>
        <w:t>MO of SCC #2 is not associated to a report configuration</w:t>
      </w:r>
      <w:r w:rsidR="002E2685">
        <w:rPr>
          <w:rFonts w:eastAsiaTheme="minorEastAsia"/>
        </w:rPr>
        <w:t>. So</w:t>
      </w:r>
      <w:r>
        <w:rPr>
          <w:rFonts w:eastAsiaTheme="minorEastAsia"/>
        </w:rPr>
        <w:t xml:space="preserve"> measurements on SCC #2 can’t trigger reporting. On the other hand, results also can’t be reported via </w:t>
      </w:r>
      <w:r w:rsidRPr="00EB5CD7">
        <w:rPr>
          <w:rFonts w:eastAsia="Times New Roman" w:cs="Times New Roman"/>
          <w:i/>
          <w:lang w:val="en-GB" w:eastAsia="ko-KR"/>
        </w:rPr>
        <w:t>measResultBestNeighCell</w:t>
      </w:r>
      <w:r>
        <w:rPr>
          <w:rFonts w:eastAsiaTheme="minorEastAsia"/>
        </w:rPr>
        <w:t xml:space="preserve"> since MO of SCC #2 is not referenced in </w:t>
      </w:r>
      <w:r w:rsidRPr="008F74E5">
        <w:rPr>
          <w:rFonts w:eastAsiaTheme="minorEastAsia"/>
          <w:i/>
        </w:rPr>
        <w:t>measIdList</w:t>
      </w:r>
      <w:r w:rsidRPr="008F74E5">
        <w:rPr>
          <w:rFonts w:eastAsiaTheme="minorEastAsia"/>
        </w:rPr>
        <w:t>.</w:t>
      </w:r>
      <w:r>
        <w:rPr>
          <w:rFonts w:eastAsiaTheme="minorEastAsia"/>
        </w:rPr>
        <w:t xml:space="preserve"> As a result, measurement of </w:t>
      </w:r>
      <w:r w:rsidR="00C91582">
        <w:rPr>
          <w:rFonts w:eastAsiaTheme="minorEastAsia"/>
        </w:rPr>
        <w:t>neighbor</w:t>
      </w:r>
      <w:r>
        <w:rPr>
          <w:rFonts w:eastAsiaTheme="minorEastAsia"/>
        </w:rPr>
        <w:t xml:space="preserve"> cells on SCC #2 becomes totally meaningless since UE never have a chance to report the results.</w:t>
      </w:r>
    </w:p>
    <w:p w14:paraId="5637D1A3" w14:textId="77777777" w:rsidR="00C91582" w:rsidRPr="00C91582" w:rsidRDefault="00C91582" w:rsidP="008F74E5">
      <w:pPr>
        <w:jc w:val="both"/>
        <w:rPr>
          <w:rFonts w:eastAsiaTheme="minorEastAsia"/>
          <w:b/>
          <w:i/>
        </w:rPr>
      </w:pPr>
      <w:r w:rsidRPr="00C91582">
        <w:rPr>
          <w:rFonts w:eastAsiaTheme="minorEastAsia"/>
          <w:b/>
          <w:i/>
        </w:rPr>
        <w:t xml:space="preserve">Observation 1: Measurement </w:t>
      </w:r>
      <w:r>
        <w:rPr>
          <w:rFonts w:eastAsiaTheme="minorEastAsia"/>
          <w:b/>
          <w:i/>
        </w:rPr>
        <w:t xml:space="preserve">of neighbor cells </w:t>
      </w:r>
      <w:r w:rsidRPr="00C91582">
        <w:rPr>
          <w:rFonts w:eastAsiaTheme="minorEastAsia"/>
          <w:b/>
          <w:i/>
        </w:rPr>
        <w:t xml:space="preserve">on a SCC whose MO is not associated to reported configuration is </w:t>
      </w:r>
      <w:r>
        <w:rPr>
          <w:rFonts w:eastAsiaTheme="minorEastAsia"/>
          <w:b/>
          <w:i/>
        </w:rPr>
        <w:t xml:space="preserve">totally </w:t>
      </w:r>
      <w:r w:rsidRPr="00C91582">
        <w:rPr>
          <w:rFonts w:eastAsiaTheme="minorEastAsia"/>
          <w:b/>
          <w:i/>
        </w:rPr>
        <w:t>meaningless since UE never have a chance to report the results</w:t>
      </w:r>
      <w:r>
        <w:rPr>
          <w:rFonts w:eastAsiaTheme="minorEastAsia"/>
          <w:b/>
          <w:i/>
        </w:rPr>
        <w:t xml:space="preserve"> of those neighbor cells</w:t>
      </w:r>
      <w:r w:rsidRPr="00C91582">
        <w:rPr>
          <w:rFonts w:eastAsiaTheme="minorEastAsia"/>
          <w:b/>
          <w:i/>
        </w:rPr>
        <w:t>.</w:t>
      </w:r>
    </w:p>
    <w:p w14:paraId="36722B96" w14:textId="77777777" w:rsidR="008F74E5" w:rsidRDefault="00AA7C18" w:rsidP="00EB5CD7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Furthermore, UE also needs report configuration to provide </w:t>
      </w:r>
      <w:r>
        <w:rPr>
          <w:rFonts w:eastAsiaTheme="minorEastAsia"/>
        </w:rPr>
        <w:t xml:space="preserve">details of the measurements to perform on </w:t>
      </w:r>
      <w:r w:rsidR="00C91582">
        <w:rPr>
          <w:rFonts w:eastAsiaTheme="minorEastAsia"/>
        </w:rPr>
        <w:t>neighbor</w:t>
      </w:r>
      <w:r>
        <w:rPr>
          <w:rFonts w:eastAsiaTheme="minorEastAsia"/>
        </w:rPr>
        <w:t xml:space="preserve"> cells. Without </w:t>
      </w:r>
      <w:r w:rsidRPr="00AA7C18">
        <w:rPr>
          <w:i/>
        </w:rPr>
        <w:t>rsType</w:t>
      </w:r>
      <w:r>
        <w:rPr>
          <w:rFonts w:eastAsiaTheme="minorEastAsia"/>
        </w:rPr>
        <w:t xml:space="preserve"> UE don’t know which kind of RS UE shall use to perform measurement. Without indication of </w:t>
      </w:r>
      <w:r>
        <w:t>t</w:t>
      </w:r>
      <w:r w:rsidRPr="00645E3C">
        <w:t>rigger</w:t>
      </w:r>
      <w:r>
        <w:t xml:space="preserve"> q</w:t>
      </w:r>
      <w:r w:rsidRPr="00645E3C">
        <w:t>uantity</w:t>
      </w:r>
      <w:r>
        <w:t xml:space="preserve"> and/or r</w:t>
      </w:r>
      <w:r w:rsidRPr="00645E3C">
        <w:t>eport</w:t>
      </w:r>
      <w:r>
        <w:t xml:space="preserve"> q</w:t>
      </w:r>
      <w:r w:rsidRPr="00645E3C">
        <w:t>uantity</w:t>
      </w:r>
      <w:r>
        <w:rPr>
          <w:rFonts w:eastAsiaTheme="minorEastAsia"/>
        </w:rPr>
        <w:t xml:space="preserve"> UE don’t know which kind of quantity UE shall measure. Without </w:t>
      </w:r>
      <w:r w:rsidRPr="00AA7C18">
        <w:rPr>
          <w:i/>
        </w:rPr>
        <w:t>reportQuantityRS-Indexes</w:t>
      </w:r>
      <w:r>
        <w:t xml:space="preserve"> UE don’t know whether to report cell-level results only or both cell-level and beam-level results.</w:t>
      </w:r>
    </w:p>
    <w:p w14:paraId="54FEFD5F" w14:textId="77777777" w:rsidR="00C91582" w:rsidRPr="00C91582" w:rsidRDefault="00C91582" w:rsidP="00C91582">
      <w:pPr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Observation 2</w:t>
      </w:r>
      <w:r w:rsidRPr="00C91582">
        <w:rPr>
          <w:rFonts w:eastAsiaTheme="minorEastAsia"/>
          <w:b/>
          <w:i/>
        </w:rPr>
        <w:t xml:space="preserve">: </w:t>
      </w:r>
      <w:r>
        <w:rPr>
          <w:rFonts w:eastAsiaTheme="minorEastAsia"/>
          <w:b/>
          <w:i/>
        </w:rPr>
        <w:t>UE needs report configuration to provide the details of measurements to perform on neighbor cells. Without report configuration, UE don’t know how the measurement shall be performed.</w:t>
      </w:r>
    </w:p>
    <w:p w14:paraId="554B0438" w14:textId="77777777" w:rsidR="008F74E5" w:rsidRPr="00C91582" w:rsidRDefault="005D7F11" w:rsidP="00C91582">
      <w:pPr>
        <w:pStyle w:val="2"/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pact on intra-NR handover</w:t>
      </w:r>
    </w:p>
    <w:p w14:paraId="39EDC8F6" w14:textId="77777777" w:rsidR="00181579" w:rsidRDefault="00DE10CC" w:rsidP="00DE10CC">
      <w:pPr>
        <w:jc w:val="both"/>
        <w:rPr>
          <w:rFonts w:eastAsiaTheme="minorEastAsia"/>
        </w:rPr>
      </w:pPr>
      <w:r>
        <w:rPr>
          <w:rFonts w:eastAsia="MS Mincho"/>
          <w:lang w:val="en-GB" w:eastAsia="ja-JP"/>
        </w:rPr>
        <w:t>Measurement</w:t>
      </w:r>
      <w:r w:rsidR="005D7F11">
        <w:rPr>
          <w:rFonts w:eastAsia="MS Mincho"/>
          <w:lang w:eastAsia="ja-JP"/>
        </w:rPr>
        <w:t xml:space="preserve"> report</w:t>
      </w:r>
      <w:r>
        <w:rPr>
          <w:rFonts w:eastAsia="MS Mincho"/>
          <w:lang w:eastAsia="ja-JP"/>
        </w:rPr>
        <w:t>s triggered by</w:t>
      </w:r>
      <w:r w:rsidR="005D7F11">
        <w:rPr>
          <w:rFonts w:eastAsia="MS Mincho"/>
          <w:lang w:eastAsia="ja-JP"/>
        </w:rPr>
        <w:t xml:space="preserve"> events are important basis of handover. </w:t>
      </w:r>
      <w:r>
        <w:rPr>
          <w:rFonts w:eastAsia="MS Mincho"/>
          <w:lang w:eastAsia="ja-JP"/>
        </w:rPr>
        <w:t>If NW wants UE to handover to some cell on one frequency, typically NW will configure an event-triggered report</w:t>
      </w:r>
      <w:r w:rsidR="00181579">
        <w:rPr>
          <w:rFonts w:eastAsia="MS Mincho"/>
          <w:lang w:eastAsia="ja-JP"/>
        </w:rPr>
        <w:t xml:space="preserve"> configuration (For example, A3 event) </w:t>
      </w:r>
      <w:r>
        <w:rPr>
          <w:rFonts w:eastAsia="MS Mincho"/>
          <w:lang w:eastAsia="ja-JP"/>
        </w:rPr>
        <w:t>and a MO corresponding to target frequency to UE</w:t>
      </w:r>
      <w:r w:rsidR="00181579">
        <w:rPr>
          <w:rFonts w:eastAsia="MS Mincho"/>
          <w:lang w:eastAsia="ja-JP"/>
        </w:rPr>
        <w:t xml:space="preserve"> then</w:t>
      </w:r>
      <w:r>
        <w:rPr>
          <w:rFonts w:eastAsia="MS Mincho"/>
          <w:lang w:eastAsia="ja-JP"/>
        </w:rPr>
        <w:t xml:space="preserve"> them together. UE will keep measuring neighbor cells on target frequency. When entry condition of event is satisfied report</w:t>
      </w:r>
      <w:r w:rsidR="00181579">
        <w:rPr>
          <w:rFonts w:eastAsia="MS Mincho"/>
          <w:lang w:eastAsia="ja-JP"/>
        </w:rPr>
        <w:t>ing</w:t>
      </w:r>
      <w:r>
        <w:rPr>
          <w:rFonts w:eastAsia="MS Mincho"/>
          <w:lang w:eastAsia="ja-JP"/>
        </w:rPr>
        <w:t xml:space="preserve"> will be triggered</w:t>
      </w:r>
      <w:r w:rsidR="00181579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 If NW think it is time for UE to handover, a RRC command will be sent to UE to initiate handover procedure.</w:t>
      </w:r>
      <w:r w:rsidR="00181579">
        <w:rPr>
          <w:rFonts w:eastAsiaTheme="minorEastAsia" w:hint="eastAsia"/>
        </w:rPr>
        <w:t xml:space="preserve"> </w:t>
      </w:r>
    </w:p>
    <w:p w14:paraId="72435F6E" w14:textId="77777777" w:rsidR="00DE10CC" w:rsidRDefault="00181579" w:rsidP="00DE10CC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However, </w:t>
      </w:r>
      <w:r w:rsidR="00AC47FE">
        <w:rPr>
          <w:rFonts w:eastAsiaTheme="minorEastAsia"/>
        </w:rPr>
        <w:t>E</w:t>
      </w:r>
      <w:r>
        <w:rPr>
          <w:rFonts w:eastAsiaTheme="minorEastAsia"/>
        </w:rPr>
        <w:t xml:space="preserve">vent may </w:t>
      </w:r>
      <w:r w:rsidR="00AC47FE">
        <w:rPr>
          <w:rFonts w:eastAsiaTheme="minorEastAsia"/>
        </w:rPr>
        <w:t>not</w:t>
      </w:r>
      <w:r>
        <w:rPr>
          <w:rFonts w:eastAsiaTheme="minorEastAsia"/>
        </w:rPr>
        <w:t xml:space="preserve"> be triggered correctly</w:t>
      </w:r>
      <w:r w:rsidR="00AC47FE">
        <w:rPr>
          <w:rFonts w:eastAsiaTheme="minorEastAsia"/>
        </w:rPr>
        <w:t xml:space="preserve"> if selection of full-capability SCC is left to UE</w:t>
      </w:r>
      <w:r>
        <w:rPr>
          <w:rFonts w:eastAsiaTheme="minorEastAsia"/>
        </w:rPr>
        <w:t>. Still take fig 1 as example. NW links MO #2 to a report configuration with event A3 because NW wants UE handovers to cell #3 if cell #3 is offset better than current SpCell of UE. If UE c</w:t>
      </w:r>
      <w:r w:rsidRPr="00181579">
        <w:rPr>
          <w:rFonts w:eastAsiaTheme="minorEastAsia"/>
        </w:rPr>
        <w:t>oincidentally</w:t>
      </w:r>
      <w:r>
        <w:rPr>
          <w:rFonts w:eastAsiaTheme="minorEastAsia"/>
        </w:rPr>
        <w:t xml:space="preserve"> chooses SCC #1 to monitor 6 cells and 24 SSBs Then the event A3 associated to MO #2 will never be triggered. </w:t>
      </w:r>
    </w:p>
    <w:p w14:paraId="1DB0E58A" w14:textId="77777777" w:rsidR="00181579" w:rsidRDefault="00181579" w:rsidP="00DE10CC">
      <w:pPr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Observation 3</w:t>
      </w:r>
      <w:r w:rsidRPr="00C91582">
        <w:rPr>
          <w:rFonts w:eastAsiaTheme="minorEastAsia"/>
          <w:b/>
          <w:i/>
        </w:rPr>
        <w:t xml:space="preserve">: </w:t>
      </w:r>
      <w:r>
        <w:rPr>
          <w:rFonts w:eastAsiaTheme="minorEastAsia"/>
          <w:b/>
          <w:i/>
        </w:rPr>
        <w:t xml:space="preserve">event-triggered reporting </w:t>
      </w:r>
      <w:r w:rsidRPr="00181579">
        <w:rPr>
          <w:rFonts w:eastAsiaTheme="minorEastAsia"/>
          <w:b/>
          <w:i/>
        </w:rPr>
        <w:t xml:space="preserve">may </w:t>
      </w:r>
      <w:r w:rsidR="00AC47FE">
        <w:rPr>
          <w:rFonts w:eastAsiaTheme="minorEastAsia"/>
          <w:b/>
          <w:i/>
        </w:rPr>
        <w:t>not</w:t>
      </w:r>
      <w:r w:rsidRPr="00181579">
        <w:rPr>
          <w:rFonts w:eastAsiaTheme="minorEastAsia"/>
          <w:b/>
          <w:i/>
        </w:rPr>
        <w:t xml:space="preserve"> be trigged correctly if selection of full-capability SCC is left to UE</w:t>
      </w:r>
      <w:r>
        <w:rPr>
          <w:rFonts w:eastAsiaTheme="minorEastAsia"/>
          <w:b/>
          <w:i/>
        </w:rPr>
        <w:t>.</w:t>
      </w:r>
      <w:r w:rsidR="00AC47FE">
        <w:rPr>
          <w:rFonts w:eastAsiaTheme="minorEastAsia"/>
          <w:b/>
          <w:i/>
        </w:rPr>
        <w:t xml:space="preserve"> It brings impact on intra-NR handover.</w:t>
      </w:r>
    </w:p>
    <w:p w14:paraId="2D9B4C3C" w14:textId="2C9C8D0B" w:rsidR="004C65D7" w:rsidRPr="00AC47FE" w:rsidRDefault="004C65D7" w:rsidP="00DE10CC">
      <w:pPr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lastRenderedPageBreak/>
        <w:t>Proposal 1: If possible, RAN4 reconsider the issue of FR2 full-capability CC selection.</w:t>
      </w:r>
    </w:p>
    <w:p w14:paraId="618C2F47" w14:textId="77777777" w:rsidR="0097202C" w:rsidRPr="00C560A6" w:rsidRDefault="0097202C" w:rsidP="0097202C">
      <w:pPr>
        <w:pStyle w:val="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Conclusion</w:t>
      </w:r>
    </w:p>
    <w:p w14:paraId="59FE9EDE" w14:textId="77777777" w:rsidR="00746E62" w:rsidRDefault="0053142D" w:rsidP="00746E62">
      <w:pPr>
        <w:jc w:val="both"/>
      </w:pPr>
      <w:r>
        <w:t xml:space="preserve">In this contribution </w:t>
      </w:r>
      <w:r w:rsidR="00363793">
        <w:rPr>
          <w:rFonts w:hint="eastAsia"/>
        </w:rPr>
        <w:t xml:space="preserve">remaining </w:t>
      </w:r>
      <w:r w:rsidR="00363793">
        <w:t xml:space="preserve">issues on </w:t>
      </w:r>
      <w:r w:rsidR="00F14F89">
        <w:t>UE measurement capability</w:t>
      </w:r>
      <w:r w:rsidR="00363793">
        <w:t xml:space="preserve"> are</w:t>
      </w:r>
      <w:r w:rsidR="00E035A7">
        <w:t xml:space="preserve"> discussed and t</w:t>
      </w:r>
      <w:r w:rsidR="00CE0183">
        <w:t>he following</w:t>
      </w:r>
      <w:r w:rsidR="00AC47FE">
        <w:t xml:space="preserve"> observations and</w:t>
      </w:r>
      <w:r w:rsidR="00CE0183">
        <w:t xml:space="preserve"> proposal</w:t>
      </w:r>
      <w:r w:rsidR="00AC47FE">
        <w:t>s are</w:t>
      </w:r>
      <w:r w:rsidR="00CE0183">
        <w:t xml:space="preserve"> given. </w:t>
      </w:r>
    </w:p>
    <w:p w14:paraId="18218FF4" w14:textId="77777777" w:rsidR="00AC47FE" w:rsidRPr="00C91582" w:rsidRDefault="00AC47FE" w:rsidP="00AC47FE">
      <w:pPr>
        <w:jc w:val="both"/>
        <w:rPr>
          <w:rFonts w:eastAsiaTheme="minorEastAsia"/>
          <w:b/>
          <w:i/>
        </w:rPr>
      </w:pPr>
      <w:r w:rsidRPr="00C91582">
        <w:rPr>
          <w:rFonts w:eastAsiaTheme="minorEastAsia"/>
          <w:b/>
          <w:i/>
        </w:rPr>
        <w:t xml:space="preserve">Observation 1: Measurement </w:t>
      </w:r>
      <w:r>
        <w:rPr>
          <w:rFonts w:eastAsiaTheme="minorEastAsia"/>
          <w:b/>
          <w:i/>
        </w:rPr>
        <w:t xml:space="preserve">of neighbor cells </w:t>
      </w:r>
      <w:r w:rsidRPr="00C91582">
        <w:rPr>
          <w:rFonts w:eastAsiaTheme="minorEastAsia"/>
          <w:b/>
          <w:i/>
        </w:rPr>
        <w:t xml:space="preserve">on a SCC whose MO is not associated to reported configuration is </w:t>
      </w:r>
      <w:r>
        <w:rPr>
          <w:rFonts w:eastAsiaTheme="minorEastAsia"/>
          <w:b/>
          <w:i/>
        </w:rPr>
        <w:t xml:space="preserve">totally </w:t>
      </w:r>
      <w:r w:rsidRPr="00C91582">
        <w:rPr>
          <w:rFonts w:eastAsiaTheme="minorEastAsia"/>
          <w:b/>
          <w:i/>
        </w:rPr>
        <w:t>meaningless since UE never have a chance to report the results</w:t>
      </w:r>
      <w:r>
        <w:rPr>
          <w:rFonts w:eastAsiaTheme="minorEastAsia"/>
          <w:b/>
          <w:i/>
        </w:rPr>
        <w:t xml:space="preserve"> of those neighbor cells</w:t>
      </w:r>
      <w:r w:rsidRPr="00C91582">
        <w:rPr>
          <w:rFonts w:eastAsiaTheme="minorEastAsia"/>
          <w:b/>
          <w:i/>
        </w:rPr>
        <w:t>.</w:t>
      </w:r>
    </w:p>
    <w:p w14:paraId="5A9C4D4B" w14:textId="77777777" w:rsidR="00AC47FE" w:rsidRPr="00C91582" w:rsidRDefault="00AC47FE" w:rsidP="00AC47FE">
      <w:pPr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Observation 2</w:t>
      </w:r>
      <w:r w:rsidRPr="00C91582">
        <w:rPr>
          <w:rFonts w:eastAsiaTheme="minorEastAsia"/>
          <w:b/>
          <w:i/>
        </w:rPr>
        <w:t xml:space="preserve">: </w:t>
      </w:r>
      <w:r>
        <w:rPr>
          <w:rFonts w:eastAsiaTheme="minorEastAsia"/>
          <w:b/>
          <w:i/>
        </w:rPr>
        <w:t>UE needs report configuration to provide the details of measurements to perform on neighbor cells. Without report configuration, UE don’t know how the measurement shall be performed.</w:t>
      </w:r>
    </w:p>
    <w:p w14:paraId="394E254A" w14:textId="77777777" w:rsidR="00AC47FE" w:rsidRPr="00AC47FE" w:rsidRDefault="00AC47FE" w:rsidP="00AC47FE">
      <w:pPr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Observation 3</w:t>
      </w:r>
      <w:r w:rsidRPr="00C91582">
        <w:rPr>
          <w:rFonts w:eastAsiaTheme="minorEastAsia"/>
          <w:b/>
          <w:i/>
        </w:rPr>
        <w:t xml:space="preserve">: </w:t>
      </w:r>
      <w:r>
        <w:rPr>
          <w:rFonts w:eastAsiaTheme="minorEastAsia"/>
          <w:b/>
          <w:i/>
        </w:rPr>
        <w:t xml:space="preserve">event-triggered reporting </w:t>
      </w:r>
      <w:r w:rsidRPr="00181579">
        <w:rPr>
          <w:rFonts w:eastAsiaTheme="minorEastAsia"/>
          <w:b/>
          <w:i/>
        </w:rPr>
        <w:t xml:space="preserve">may </w:t>
      </w:r>
      <w:r>
        <w:rPr>
          <w:rFonts w:eastAsiaTheme="minorEastAsia"/>
          <w:b/>
          <w:i/>
        </w:rPr>
        <w:t>not</w:t>
      </w:r>
      <w:r w:rsidRPr="00181579">
        <w:rPr>
          <w:rFonts w:eastAsiaTheme="minorEastAsia"/>
          <w:b/>
          <w:i/>
        </w:rPr>
        <w:t xml:space="preserve"> be trigged correctly if selection of full-capability SCC is left to UE</w:t>
      </w:r>
      <w:r>
        <w:rPr>
          <w:rFonts w:eastAsiaTheme="minorEastAsia"/>
          <w:b/>
          <w:i/>
        </w:rPr>
        <w:t>. It brings impact on intra-NR handover.</w:t>
      </w:r>
    </w:p>
    <w:p w14:paraId="07AA5571" w14:textId="5B1E0EFD" w:rsidR="004C65D7" w:rsidRPr="00AC47FE" w:rsidRDefault="004C65D7" w:rsidP="004C65D7">
      <w:pPr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Proposal 1: If possible, RAN4 reconsider the issue of FR2 full-capability CC selection.</w:t>
      </w:r>
    </w:p>
    <w:p w14:paraId="43166016" w14:textId="77777777" w:rsidR="0097202C" w:rsidRPr="00C560A6" w:rsidRDefault="0097202C" w:rsidP="0097202C">
      <w:pPr>
        <w:pStyle w:val="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Reference</w:t>
      </w:r>
    </w:p>
    <w:p w14:paraId="2FA27273" w14:textId="2B31D8C7" w:rsidR="00F14F89" w:rsidRPr="00CE0183" w:rsidRDefault="00F14F89" w:rsidP="00CE0183"/>
    <w:sectPr w:rsidR="00F14F89" w:rsidRPr="00CE01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D42BC" w14:textId="77777777" w:rsidR="00F9651D" w:rsidRDefault="00F9651D" w:rsidP="002F5416">
      <w:pPr>
        <w:spacing w:after="0"/>
      </w:pPr>
      <w:r>
        <w:separator/>
      </w:r>
    </w:p>
  </w:endnote>
  <w:endnote w:type="continuationSeparator" w:id="0">
    <w:p w14:paraId="53B0D962" w14:textId="77777777" w:rsidR="00F9651D" w:rsidRDefault="00F9651D" w:rsidP="002F54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97205" w14:textId="77777777" w:rsidR="00F9651D" w:rsidRDefault="00F9651D" w:rsidP="002F5416">
      <w:pPr>
        <w:spacing w:after="0"/>
      </w:pPr>
      <w:r>
        <w:separator/>
      </w:r>
    </w:p>
  </w:footnote>
  <w:footnote w:type="continuationSeparator" w:id="0">
    <w:p w14:paraId="74B95E4B" w14:textId="77777777" w:rsidR="00F9651D" w:rsidRDefault="00F9651D" w:rsidP="002F54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7AE7"/>
    <w:multiLevelType w:val="hybridMultilevel"/>
    <w:tmpl w:val="C91E1518"/>
    <w:lvl w:ilvl="0" w:tplc="938C0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D878F7"/>
    <w:multiLevelType w:val="hybridMultilevel"/>
    <w:tmpl w:val="01D242B8"/>
    <w:lvl w:ilvl="0" w:tplc="E20A29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BAB01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F63F2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062E4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B073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96B9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0C418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C50A0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3A46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0B92CF6"/>
    <w:multiLevelType w:val="hybridMultilevel"/>
    <w:tmpl w:val="A588E748"/>
    <w:lvl w:ilvl="0" w:tplc="602294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4937D6"/>
    <w:multiLevelType w:val="hybridMultilevel"/>
    <w:tmpl w:val="93C45462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70764F"/>
    <w:multiLevelType w:val="hybridMultilevel"/>
    <w:tmpl w:val="F11C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30F9F"/>
    <w:multiLevelType w:val="hybridMultilevel"/>
    <w:tmpl w:val="9D2E98B0"/>
    <w:lvl w:ilvl="0" w:tplc="2D92AA28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2D92AA28">
      <w:start w:val="1"/>
      <w:numFmt w:val="bullet"/>
      <w:lvlText w:val="•"/>
      <w:lvlJc w:val="left"/>
      <w:pPr>
        <w:ind w:left="126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6D106FA"/>
    <w:multiLevelType w:val="hybridMultilevel"/>
    <w:tmpl w:val="B26A3A88"/>
    <w:lvl w:ilvl="0" w:tplc="55E0C8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143554"/>
    <w:multiLevelType w:val="hybridMultilevel"/>
    <w:tmpl w:val="3D2E77CA"/>
    <w:lvl w:ilvl="0" w:tplc="EE34D21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7E92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287FB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548B732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DA7E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4ADD6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8EE8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52C52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AACBF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F484A"/>
    <w:multiLevelType w:val="hybridMultilevel"/>
    <w:tmpl w:val="ABD6B60C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52667E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4B1E09"/>
    <w:multiLevelType w:val="hybridMultilevel"/>
    <w:tmpl w:val="F050E4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2B1EC5"/>
    <w:multiLevelType w:val="hybridMultilevel"/>
    <w:tmpl w:val="29C8519A"/>
    <w:lvl w:ilvl="0" w:tplc="30546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8C9476E"/>
    <w:multiLevelType w:val="hybridMultilevel"/>
    <w:tmpl w:val="4BA8C31A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51DA6"/>
    <w:multiLevelType w:val="hybridMultilevel"/>
    <w:tmpl w:val="1B88B258"/>
    <w:lvl w:ilvl="0" w:tplc="7856DA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2B8BF5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F8240E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92F2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3A0A7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B7443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C80F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48822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084B0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CF1189B"/>
    <w:multiLevelType w:val="hybridMultilevel"/>
    <w:tmpl w:val="A3DCA8BC"/>
    <w:lvl w:ilvl="0" w:tplc="C8480B08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916CF"/>
    <w:multiLevelType w:val="hybridMultilevel"/>
    <w:tmpl w:val="920C5D00"/>
    <w:lvl w:ilvl="0" w:tplc="075CAB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4F59F0"/>
    <w:multiLevelType w:val="multilevel"/>
    <w:tmpl w:val="B1F2122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6585201"/>
    <w:multiLevelType w:val="hybridMultilevel"/>
    <w:tmpl w:val="03E48A74"/>
    <w:lvl w:ilvl="0" w:tplc="F0325A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8A40DA0"/>
    <w:multiLevelType w:val="hybridMultilevel"/>
    <w:tmpl w:val="FE84DC70"/>
    <w:lvl w:ilvl="0" w:tplc="42180144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D6D2272"/>
    <w:multiLevelType w:val="hybridMultilevel"/>
    <w:tmpl w:val="5D00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CC335C"/>
    <w:multiLevelType w:val="hybridMultilevel"/>
    <w:tmpl w:val="8286ECD6"/>
    <w:lvl w:ilvl="0" w:tplc="843A4E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F246242"/>
    <w:multiLevelType w:val="hybridMultilevel"/>
    <w:tmpl w:val="B600AD16"/>
    <w:lvl w:ilvl="0" w:tplc="4B149ED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0E23E71"/>
    <w:multiLevelType w:val="hybridMultilevel"/>
    <w:tmpl w:val="EEC0CD30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-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</w:abstractNum>
  <w:abstractNum w:abstractNumId="24" w15:restartNumberingAfterBreak="0">
    <w:nsid w:val="524744E9"/>
    <w:multiLevelType w:val="hybridMultilevel"/>
    <w:tmpl w:val="C31C7DC2"/>
    <w:lvl w:ilvl="0" w:tplc="FFDEA2EC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5" w15:restartNumberingAfterBreak="0">
    <w:nsid w:val="554218B2"/>
    <w:multiLevelType w:val="hybridMultilevel"/>
    <w:tmpl w:val="ACBE74C2"/>
    <w:lvl w:ilvl="0" w:tplc="0A30176A">
      <w:start w:val="1"/>
      <w:numFmt w:val="bullet"/>
      <w:lvlText w:val="-"/>
      <w:lvlJc w:val="left"/>
      <w:pPr>
        <w:ind w:left="360" w:hanging="360"/>
      </w:pPr>
      <w:rPr>
        <w:rFonts w:ascii="Times New Roman" w:eastAsia="黑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D112826"/>
    <w:multiLevelType w:val="hybridMultilevel"/>
    <w:tmpl w:val="1A4C406C"/>
    <w:lvl w:ilvl="0" w:tplc="7EF4F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DAF42E9"/>
    <w:multiLevelType w:val="hybridMultilevel"/>
    <w:tmpl w:val="28CA528E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52667E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F626AAF"/>
    <w:multiLevelType w:val="hybridMultilevel"/>
    <w:tmpl w:val="E8848E48"/>
    <w:lvl w:ilvl="0" w:tplc="BD6C8E7E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FD362A5"/>
    <w:multiLevelType w:val="hybridMultilevel"/>
    <w:tmpl w:val="391EBE04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6734A9"/>
    <w:multiLevelType w:val="hybridMultilevel"/>
    <w:tmpl w:val="97622990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2D92AA28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4E15FB5"/>
    <w:multiLevelType w:val="hybridMultilevel"/>
    <w:tmpl w:val="BE24F882"/>
    <w:lvl w:ilvl="0" w:tplc="04090001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6825BB4"/>
    <w:multiLevelType w:val="hybridMultilevel"/>
    <w:tmpl w:val="006CA23A"/>
    <w:lvl w:ilvl="0" w:tplc="43DCE2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4B7DFD"/>
    <w:multiLevelType w:val="hybridMultilevel"/>
    <w:tmpl w:val="43F8D246"/>
    <w:lvl w:ilvl="0" w:tplc="04090001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3E0DAF"/>
    <w:multiLevelType w:val="hybridMultilevel"/>
    <w:tmpl w:val="81540AD8"/>
    <w:lvl w:ilvl="0" w:tplc="592C4B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F735F74"/>
    <w:multiLevelType w:val="hybridMultilevel"/>
    <w:tmpl w:val="4058F490"/>
    <w:lvl w:ilvl="0" w:tplc="B44C52C2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 w15:restartNumberingAfterBreak="0">
    <w:nsid w:val="70E372E1"/>
    <w:multiLevelType w:val="hybridMultilevel"/>
    <w:tmpl w:val="D9C4DE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3FB30AC"/>
    <w:multiLevelType w:val="hybridMultilevel"/>
    <w:tmpl w:val="32E02DC2"/>
    <w:lvl w:ilvl="0" w:tplc="8DB863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DE64185"/>
    <w:multiLevelType w:val="hybridMultilevel"/>
    <w:tmpl w:val="ED16056A"/>
    <w:lvl w:ilvl="0" w:tplc="F260E33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ECF17D0"/>
    <w:multiLevelType w:val="hybridMultilevel"/>
    <w:tmpl w:val="63367200"/>
    <w:lvl w:ilvl="0" w:tplc="08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4"/>
  </w:num>
  <w:num w:numId="3">
    <w:abstractNumId w:val="39"/>
  </w:num>
  <w:num w:numId="4">
    <w:abstractNumId w:val="40"/>
  </w:num>
  <w:num w:numId="5">
    <w:abstractNumId w:val="31"/>
  </w:num>
  <w:num w:numId="6">
    <w:abstractNumId w:val="9"/>
  </w:num>
  <w:num w:numId="7">
    <w:abstractNumId w:val="33"/>
  </w:num>
  <w:num w:numId="8">
    <w:abstractNumId w:val="4"/>
  </w:num>
  <w:num w:numId="9">
    <w:abstractNumId w:val="41"/>
  </w:num>
  <w:num w:numId="10">
    <w:abstractNumId w:val="15"/>
  </w:num>
  <w:num w:numId="11">
    <w:abstractNumId w:val="11"/>
  </w:num>
  <w:num w:numId="12">
    <w:abstractNumId w:val="22"/>
  </w:num>
  <w:num w:numId="13">
    <w:abstractNumId w:val="1"/>
  </w:num>
  <w:num w:numId="14">
    <w:abstractNumId w:val="8"/>
  </w:num>
  <w:num w:numId="15">
    <w:abstractNumId w:val="27"/>
  </w:num>
  <w:num w:numId="16">
    <w:abstractNumId w:val="6"/>
  </w:num>
  <w:num w:numId="17">
    <w:abstractNumId w:val="12"/>
  </w:num>
  <w:num w:numId="18">
    <w:abstractNumId w:val="16"/>
  </w:num>
  <w:num w:numId="19">
    <w:abstractNumId w:val="26"/>
  </w:num>
  <w:num w:numId="20">
    <w:abstractNumId w:val="0"/>
  </w:num>
  <w:num w:numId="21">
    <w:abstractNumId w:val="10"/>
  </w:num>
  <w:num w:numId="22">
    <w:abstractNumId w:val="7"/>
  </w:num>
  <w:num w:numId="23">
    <w:abstractNumId w:val="20"/>
  </w:num>
  <w:num w:numId="24">
    <w:abstractNumId w:val="2"/>
  </w:num>
  <w:num w:numId="25">
    <w:abstractNumId w:val="36"/>
  </w:num>
  <w:num w:numId="26">
    <w:abstractNumId w:val="19"/>
  </w:num>
  <w:num w:numId="27">
    <w:abstractNumId w:val="23"/>
  </w:num>
  <w:num w:numId="28">
    <w:abstractNumId w:val="37"/>
  </w:num>
  <w:num w:numId="29">
    <w:abstractNumId w:val="13"/>
  </w:num>
  <w:num w:numId="30">
    <w:abstractNumId w:val="35"/>
  </w:num>
  <w:num w:numId="31">
    <w:abstractNumId w:val="29"/>
  </w:num>
  <w:num w:numId="32">
    <w:abstractNumId w:val="5"/>
  </w:num>
  <w:num w:numId="33">
    <w:abstractNumId w:val="3"/>
  </w:num>
  <w:num w:numId="34">
    <w:abstractNumId w:val="30"/>
  </w:num>
  <w:num w:numId="35">
    <w:abstractNumId w:val="32"/>
  </w:num>
  <w:num w:numId="36">
    <w:abstractNumId w:val="25"/>
  </w:num>
  <w:num w:numId="37">
    <w:abstractNumId w:val="18"/>
  </w:num>
  <w:num w:numId="38">
    <w:abstractNumId w:val="21"/>
  </w:num>
  <w:num w:numId="39">
    <w:abstractNumId w:val="28"/>
  </w:num>
  <w:num w:numId="40">
    <w:abstractNumId w:val="24"/>
  </w:num>
  <w:num w:numId="41">
    <w:abstractNumId w:val="17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386"/>
    <w:rsid w:val="00001017"/>
    <w:rsid w:val="000028F0"/>
    <w:rsid w:val="00002EF1"/>
    <w:rsid w:val="000053C9"/>
    <w:rsid w:val="000063CD"/>
    <w:rsid w:val="000076B8"/>
    <w:rsid w:val="00015212"/>
    <w:rsid w:val="00017B64"/>
    <w:rsid w:val="000311B5"/>
    <w:rsid w:val="00033BFB"/>
    <w:rsid w:val="000352F3"/>
    <w:rsid w:val="000409C7"/>
    <w:rsid w:val="00041A0F"/>
    <w:rsid w:val="00042F58"/>
    <w:rsid w:val="00043F0E"/>
    <w:rsid w:val="00044543"/>
    <w:rsid w:val="0005452B"/>
    <w:rsid w:val="00063578"/>
    <w:rsid w:val="00063699"/>
    <w:rsid w:val="00084262"/>
    <w:rsid w:val="00084CDB"/>
    <w:rsid w:val="00085D33"/>
    <w:rsid w:val="00097144"/>
    <w:rsid w:val="000A10AF"/>
    <w:rsid w:val="000A6660"/>
    <w:rsid w:val="000A6713"/>
    <w:rsid w:val="000B3686"/>
    <w:rsid w:val="000C56D9"/>
    <w:rsid w:val="000C6CB9"/>
    <w:rsid w:val="000D26E2"/>
    <w:rsid w:val="000D45B0"/>
    <w:rsid w:val="000D4772"/>
    <w:rsid w:val="000D6332"/>
    <w:rsid w:val="000E1B11"/>
    <w:rsid w:val="000E2CD9"/>
    <w:rsid w:val="000E2F9D"/>
    <w:rsid w:val="000E7B08"/>
    <w:rsid w:val="000F083B"/>
    <w:rsid w:val="000F19E7"/>
    <w:rsid w:val="000F2281"/>
    <w:rsid w:val="000F586F"/>
    <w:rsid w:val="000F5C2B"/>
    <w:rsid w:val="001014B4"/>
    <w:rsid w:val="00102CDD"/>
    <w:rsid w:val="001042B1"/>
    <w:rsid w:val="00111948"/>
    <w:rsid w:val="0011315A"/>
    <w:rsid w:val="0011402E"/>
    <w:rsid w:val="00117F7D"/>
    <w:rsid w:val="00123FE0"/>
    <w:rsid w:val="00125A18"/>
    <w:rsid w:val="00133AB1"/>
    <w:rsid w:val="0013490B"/>
    <w:rsid w:val="0013581C"/>
    <w:rsid w:val="00153A09"/>
    <w:rsid w:val="00164389"/>
    <w:rsid w:val="0016471E"/>
    <w:rsid w:val="00170484"/>
    <w:rsid w:val="00172DB6"/>
    <w:rsid w:val="00175E9E"/>
    <w:rsid w:val="001775DC"/>
    <w:rsid w:val="00181579"/>
    <w:rsid w:val="0018440A"/>
    <w:rsid w:val="00186550"/>
    <w:rsid w:val="0019168B"/>
    <w:rsid w:val="00197CE3"/>
    <w:rsid w:val="001A29E1"/>
    <w:rsid w:val="001B3B8B"/>
    <w:rsid w:val="001C08CF"/>
    <w:rsid w:val="001C4C64"/>
    <w:rsid w:val="001D2CCB"/>
    <w:rsid w:val="001D2F2B"/>
    <w:rsid w:val="001E1CD6"/>
    <w:rsid w:val="001E48BD"/>
    <w:rsid w:val="002011E5"/>
    <w:rsid w:val="002037FB"/>
    <w:rsid w:val="002042A9"/>
    <w:rsid w:val="00205952"/>
    <w:rsid w:val="00215790"/>
    <w:rsid w:val="002163AB"/>
    <w:rsid w:val="00217595"/>
    <w:rsid w:val="002218A8"/>
    <w:rsid w:val="00232EF9"/>
    <w:rsid w:val="00234F2D"/>
    <w:rsid w:val="0024255A"/>
    <w:rsid w:val="00246B53"/>
    <w:rsid w:val="002474D6"/>
    <w:rsid w:val="002530FF"/>
    <w:rsid w:val="00253394"/>
    <w:rsid w:val="0026747A"/>
    <w:rsid w:val="00267644"/>
    <w:rsid w:val="00270CF9"/>
    <w:rsid w:val="00272473"/>
    <w:rsid w:val="00274D39"/>
    <w:rsid w:val="0028095F"/>
    <w:rsid w:val="00281725"/>
    <w:rsid w:val="002927CD"/>
    <w:rsid w:val="002A20DA"/>
    <w:rsid w:val="002B16F5"/>
    <w:rsid w:val="002C3922"/>
    <w:rsid w:val="002C4CC6"/>
    <w:rsid w:val="002C58C7"/>
    <w:rsid w:val="002D0602"/>
    <w:rsid w:val="002D3F03"/>
    <w:rsid w:val="002D68F7"/>
    <w:rsid w:val="002E2685"/>
    <w:rsid w:val="002E61AA"/>
    <w:rsid w:val="002F39DD"/>
    <w:rsid w:val="002F5416"/>
    <w:rsid w:val="002F6965"/>
    <w:rsid w:val="003011B0"/>
    <w:rsid w:val="0030465C"/>
    <w:rsid w:val="0033150A"/>
    <w:rsid w:val="00333B4A"/>
    <w:rsid w:val="00335E52"/>
    <w:rsid w:val="00341F65"/>
    <w:rsid w:val="00342896"/>
    <w:rsid w:val="00352868"/>
    <w:rsid w:val="003529C2"/>
    <w:rsid w:val="003601BF"/>
    <w:rsid w:val="00361035"/>
    <w:rsid w:val="00363793"/>
    <w:rsid w:val="003735C4"/>
    <w:rsid w:val="003750F3"/>
    <w:rsid w:val="003841E1"/>
    <w:rsid w:val="003931EA"/>
    <w:rsid w:val="00393654"/>
    <w:rsid w:val="003A4487"/>
    <w:rsid w:val="003B17CB"/>
    <w:rsid w:val="003C2B12"/>
    <w:rsid w:val="003C5B1E"/>
    <w:rsid w:val="003D0C9C"/>
    <w:rsid w:val="003D5A4B"/>
    <w:rsid w:val="003E30D3"/>
    <w:rsid w:val="003E4003"/>
    <w:rsid w:val="00410320"/>
    <w:rsid w:val="0041461E"/>
    <w:rsid w:val="00414B71"/>
    <w:rsid w:val="004157F0"/>
    <w:rsid w:val="00422E8C"/>
    <w:rsid w:val="00435DC8"/>
    <w:rsid w:val="004454C3"/>
    <w:rsid w:val="00447F76"/>
    <w:rsid w:val="00453D3B"/>
    <w:rsid w:val="00464A45"/>
    <w:rsid w:val="0046685F"/>
    <w:rsid w:val="00473B4B"/>
    <w:rsid w:val="00476B74"/>
    <w:rsid w:val="00477795"/>
    <w:rsid w:val="00477AC1"/>
    <w:rsid w:val="004800A7"/>
    <w:rsid w:val="00492BF4"/>
    <w:rsid w:val="00493995"/>
    <w:rsid w:val="004969D0"/>
    <w:rsid w:val="00497B8D"/>
    <w:rsid w:val="004A0F0A"/>
    <w:rsid w:val="004A47AD"/>
    <w:rsid w:val="004A50B3"/>
    <w:rsid w:val="004B1AD4"/>
    <w:rsid w:val="004C2055"/>
    <w:rsid w:val="004C3F50"/>
    <w:rsid w:val="004C4B68"/>
    <w:rsid w:val="004C65D7"/>
    <w:rsid w:val="004D27AC"/>
    <w:rsid w:val="004D4D5B"/>
    <w:rsid w:val="004F3ABB"/>
    <w:rsid w:val="004F5221"/>
    <w:rsid w:val="00501AF8"/>
    <w:rsid w:val="005063D2"/>
    <w:rsid w:val="0051368F"/>
    <w:rsid w:val="00524241"/>
    <w:rsid w:val="00530104"/>
    <w:rsid w:val="005311F2"/>
    <w:rsid w:val="0053142D"/>
    <w:rsid w:val="005327E3"/>
    <w:rsid w:val="005352A5"/>
    <w:rsid w:val="00537FFE"/>
    <w:rsid w:val="00550C31"/>
    <w:rsid w:val="0055255B"/>
    <w:rsid w:val="005528BD"/>
    <w:rsid w:val="00563C49"/>
    <w:rsid w:val="0058233B"/>
    <w:rsid w:val="00582DD6"/>
    <w:rsid w:val="00590859"/>
    <w:rsid w:val="005A0EBA"/>
    <w:rsid w:val="005A4077"/>
    <w:rsid w:val="005A7180"/>
    <w:rsid w:val="005B0495"/>
    <w:rsid w:val="005B3192"/>
    <w:rsid w:val="005B4629"/>
    <w:rsid w:val="005B7598"/>
    <w:rsid w:val="005C0923"/>
    <w:rsid w:val="005D15B3"/>
    <w:rsid w:val="005D1F0E"/>
    <w:rsid w:val="005D574A"/>
    <w:rsid w:val="005D7F11"/>
    <w:rsid w:val="005E0AFE"/>
    <w:rsid w:val="005E71AB"/>
    <w:rsid w:val="005F4871"/>
    <w:rsid w:val="005F668A"/>
    <w:rsid w:val="006032B7"/>
    <w:rsid w:val="006060C2"/>
    <w:rsid w:val="00607F82"/>
    <w:rsid w:val="0062442E"/>
    <w:rsid w:val="00624F55"/>
    <w:rsid w:val="006277FC"/>
    <w:rsid w:val="00632B9F"/>
    <w:rsid w:val="00642E62"/>
    <w:rsid w:val="00643B2E"/>
    <w:rsid w:val="00647FE6"/>
    <w:rsid w:val="00662ADA"/>
    <w:rsid w:val="00664C6A"/>
    <w:rsid w:val="00664CC1"/>
    <w:rsid w:val="00665305"/>
    <w:rsid w:val="00667627"/>
    <w:rsid w:val="00670E40"/>
    <w:rsid w:val="006726D6"/>
    <w:rsid w:val="006804AE"/>
    <w:rsid w:val="006900BF"/>
    <w:rsid w:val="00693B88"/>
    <w:rsid w:val="0069454B"/>
    <w:rsid w:val="00695A2B"/>
    <w:rsid w:val="006976AF"/>
    <w:rsid w:val="006A2C43"/>
    <w:rsid w:val="006A48E4"/>
    <w:rsid w:val="006B0EBA"/>
    <w:rsid w:val="006B6A70"/>
    <w:rsid w:val="006C1376"/>
    <w:rsid w:val="006C7AFE"/>
    <w:rsid w:val="006D45B5"/>
    <w:rsid w:val="006D726A"/>
    <w:rsid w:val="006E294B"/>
    <w:rsid w:val="006E5AAD"/>
    <w:rsid w:val="006F1638"/>
    <w:rsid w:val="006F2250"/>
    <w:rsid w:val="006F5848"/>
    <w:rsid w:val="006F5B7C"/>
    <w:rsid w:val="006F7C35"/>
    <w:rsid w:val="0070387F"/>
    <w:rsid w:val="00703A8A"/>
    <w:rsid w:val="00706968"/>
    <w:rsid w:val="00710627"/>
    <w:rsid w:val="0071710C"/>
    <w:rsid w:val="0073243D"/>
    <w:rsid w:val="00736C2B"/>
    <w:rsid w:val="007378E2"/>
    <w:rsid w:val="00740E6A"/>
    <w:rsid w:val="007434A3"/>
    <w:rsid w:val="00746E62"/>
    <w:rsid w:val="0074790E"/>
    <w:rsid w:val="00750632"/>
    <w:rsid w:val="0075605D"/>
    <w:rsid w:val="0076125B"/>
    <w:rsid w:val="00765525"/>
    <w:rsid w:val="007722D0"/>
    <w:rsid w:val="00773880"/>
    <w:rsid w:val="00774FBD"/>
    <w:rsid w:val="00776964"/>
    <w:rsid w:val="00787EDE"/>
    <w:rsid w:val="00792E13"/>
    <w:rsid w:val="007A303D"/>
    <w:rsid w:val="007B73F9"/>
    <w:rsid w:val="007C425A"/>
    <w:rsid w:val="007C7A3F"/>
    <w:rsid w:val="007E5E06"/>
    <w:rsid w:val="007E6DEA"/>
    <w:rsid w:val="007E7E60"/>
    <w:rsid w:val="007F037B"/>
    <w:rsid w:val="007F6AED"/>
    <w:rsid w:val="00801176"/>
    <w:rsid w:val="00824B3B"/>
    <w:rsid w:val="00826188"/>
    <w:rsid w:val="00840C0D"/>
    <w:rsid w:val="008416CC"/>
    <w:rsid w:val="00844746"/>
    <w:rsid w:val="00845708"/>
    <w:rsid w:val="00853A72"/>
    <w:rsid w:val="008613D8"/>
    <w:rsid w:val="00862D04"/>
    <w:rsid w:val="008637A6"/>
    <w:rsid w:val="0087194D"/>
    <w:rsid w:val="0087271F"/>
    <w:rsid w:val="00877A1A"/>
    <w:rsid w:val="00881042"/>
    <w:rsid w:val="00881F49"/>
    <w:rsid w:val="0088280E"/>
    <w:rsid w:val="008832CA"/>
    <w:rsid w:val="008846D1"/>
    <w:rsid w:val="00887324"/>
    <w:rsid w:val="00895110"/>
    <w:rsid w:val="008978E4"/>
    <w:rsid w:val="008A2768"/>
    <w:rsid w:val="008A4A6F"/>
    <w:rsid w:val="008B33A0"/>
    <w:rsid w:val="008B4A77"/>
    <w:rsid w:val="008B636C"/>
    <w:rsid w:val="008C1233"/>
    <w:rsid w:val="008C265E"/>
    <w:rsid w:val="008C7865"/>
    <w:rsid w:val="008D3D8D"/>
    <w:rsid w:val="008D4156"/>
    <w:rsid w:val="008D5776"/>
    <w:rsid w:val="008E3CE0"/>
    <w:rsid w:val="008E7F7D"/>
    <w:rsid w:val="008F4127"/>
    <w:rsid w:val="008F53C9"/>
    <w:rsid w:val="008F74E5"/>
    <w:rsid w:val="009213A9"/>
    <w:rsid w:val="00924E6F"/>
    <w:rsid w:val="009258E4"/>
    <w:rsid w:val="009274CD"/>
    <w:rsid w:val="009277F9"/>
    <w:rsid w:val="0093237B"/>
    <w:rsid w:val="009375E0"/>
    <w:rsid w:val="00943F07"/>
    <w:rsid w:val="00945091"/>
    <w:rsid w:val="00945AA0"/>
    <w:rsid w:val="0095502D"/>
    <w:rsid w:val="009558F6"/>
    <w:rsid w:val="00956E94"/>
    <w:rsid w:val="009630B9"/>
    <w:rsid w:val="00966C0F"/>
    <w:rsid w:val="0097202C"/>
    <w:rsid w:val="0098120C"/>
    <w:rsid w:val="00981DA3"/>
    <w:rsid w:val="00993613"/>
    <w:rsid w:val="009A679B"/>
    <w:rsid w:val="009B12C7"/>
    <w:rsid w:val="009B2123"/>
    <w:rsid w:val="009B75D6"/>
    <w:rsid w:val="009C168A"/>
    <w:rsid w:val="009C3C89"/>
    <w:rsid w:val="009C61F8"/>
    <w:rsid w:val="009C6267"/>
    <w:rsid w:val="009D468F"/>
    <w:rsid w:val="009E0210"/>
    <w:rsid w:val="009E11E0"/>
    <w:rsid w:val="009E385F"/>
    <w:rsid w:val="009E470F"/>
    <w:rsid w:val="009E7EC5"/>
    <w:rsid w:val="00A101AB"/>
    <w:rsid w:val="00A143E4"/>
    <w:rsid w:val="00A14FC5"/>
    <w:rsid w:val="00A165A3"/>
    <w:rsid w:val="00A17590"/>
    <w:rsid w:val="00A21320"/>
    <w:rsid w:val="00A2170F"/>
    <w:rsid w:val="00A27F7D"/>
    <w:rsid w:val="00A30A58"/>
    <w:rsid w:val="00A3314E"/>
    <w:rsid w:val="00A458ED"/>
    <w:rsid w:val="00A4635D"/>
    <w:rsid w:val="00A52CA0"/>
    <w:rsid w:val="00A55D1F"/>
    <w:rsid w:val="00A6291E"/>
    <w:rsid w:val="00A62EDB"/>
    <w:rsid w:val="00A724C3"/>
    <w:rsid w:val="00A74A58"/>
    <w:rsid w:val="00A77E45"/>
    <w:rsid w:val="00A82684"/>
    <w:rsid w:val="00A8272B"/>
    <w:rsid w:val="00A954E5"/>
    <w:rsid w:val="00AA30EC"/>
    <w:rsid w:val="00AA6628"/>
    <w:rsid w:val="00AA6E6A"/>
    <w:rsid w:val="00AA7266"/>
    <w:rsid w:val="00AA7C18"/>
    <w:rsid w:val="00AA7FF0"/>
    <w:rsid w:val="00AB52D2"/>
    <w:rsid w:val="00AB7CB4"/>
    <w:rsid w:val="00AC251D"/>
    <w:rsid w:val="00AC41DB"/>
    <w:rsid w:val="00AC47FE"/>
    <w:rsid w:val="00AC7095"/>
    <w:rsid w:val="00AD393C"/>
    <w:rsid w:val="00AE1931"/>
    <w:rsid w:val="00AF179D"/>
    <w:rsid w:val="00AF1ABA"/>
    <w:rsid w:val="00B05042"/>
    <w:rsid w:val="00B05182"/>
    <w:rsid w:val="00B05CD3"/>
    <w:rsid w:val="00B066F4"/>
    <w:rsid w:val="00B15162"/>
    <w:rsid w:val="00B20AE6"/>
    <w:rsid w:val="00B239DC"/>
    <w:rsid w:val="00B26BE7"/>
    <w:rsid w:val="00B301A0"/>
    <w:rsid w:val="00B35DBE"/>
    <w:rsid w:val="00B36D56"/>
    <w:rsid w:val="00B42E84"/>
    <w:rsid w:val="00B54DAF"/>
    <w:rsid w:val="00B63728"/>
    <w:rsid w:val="00B70BAA"/>
    <w:rsid w:val="00B7104F"/>
    <w:rsid w:val="00B86978"/>
    <w:rsid w:val="00B901E2"/>
    <w:rsid w:val="00B943F1"/>
    <w:rsid w:val="00B947EF"/>
    <w:rsid w:val="00BA61D4"/>
    <w:rsid w:val="00BB5202"/>
    <w:rsid w:val="00BC4A74"/>
    <w:rsid w:val="00BD2618"/>
    <w:rsid w:val="00BD41DC"/>
    <w:rsid w:val="00BD5D4E"/>
    <w:rsid w:val="00BD7458"/>
    <w:rsid w:val="00BE6AF1"/>
    <w:rsid w:val="00BF0B49"/>
    <w:rsid w:val="00C05BB8"/>
    <w:rsid w:val="00C069E0"/>
    <w:rsid w:val="00C07E00"/>
    <w:rsid w:val="00C10224"/>
    <w:rsid w:val="00C12438"/>
    <w:rsid w:val="00C15202"/>
    <w:rsid w:val="00C34746"/>
    <w:rsid w:val="00C41E20"/>
    <w:rsid w:val="00C446D3"/>
    <w:rsid w:val="00C56487"/>
    <w:rsid w:val="00C57AAC"/>
    <w:rsid w:val="00C62131"/>
    <w:rsid w:val="00C65FAC"/>
    <w:rsid w:val="00C75B1D"/>
    <w:rsid w:val="00C761D6"/>
    <w:rsid w:val="00C77A09"/>
    <w:rsid w:val="00C80101"/>
    <w:rsid w:val="00C81E8E"/>
    <w:rsid w:val="00C84FF2"/>
    <w:rsid w:val="00C91582"/>
    <w:rsid w:val="00C92C08"/>
    <w:rsid w:val="00C92EB2"/>
    <w:rsid w:val="00C958EF"/>
    <w:rsid w:val="00C978D5"/>
    <w:rsid w:val="00CA413F"/>
    <w:rsid w:val="00CA7C31"/>
    <w:rsid w:val="00CB2C9A"/>
    <w:rsid w:val="00CB59E3"/>
    <w:rsid w:val="00CB784F"/>
    <w:rsid w:val="00CC3034"/>
    <w:rsid w:val="00CC4344"/>
    <w:rsid w:val="00CD1386"/>
    <w:rsid w:val="00CD5C3A"/>
    <w:rsid w:val="00CE0183"/>
    <w:rsid w:val="00CE27AB"/>
    <w:rsid w:val="00CE5B31"/>
    <w:rsid w:val="00CE7A41"/>
    <w:rsid w:val="00CE7FB4"/>
    <w:rsid w:val="00D00FB8"/>
    <w:rsid w:val="00D03E02"/>
    <w:rsid w:val="00D101AC"/>
    <w:rsid w:val="00D10DA4"/>
    <w:rsid w:val="00D12842"/>
    <w:rsid w:val="00D12BEB"/>
    <w:rsid w:val="00D17D6C"/>
    <w:rsid w:val="00D17E52"/>
    <w:rsid w:val="00D20A38"/>
    <w:rsid w:val="00D20D4D"/>
    <w:rsid w:val="00D230CE"/>
    <w:rsid w:val="00D35901"/>
    <w:rsid w:val="00D35D79"/>
    <w:rsid w:val="00D44B54"/>
    <w:rsid w:val="00D50BB2"/>
    <w:rsid w:val="00D54893"/>
    <w:rsid w:val="00D62C2B"/>
    <w:rsid w:val="00D63219"/>
    <w:rsid w:val="00D64419"/>
    <w:rsid w:val="00D674CD"/>
    <w:rsid w:val="00D67E60"/>
    <w:rsid w:val="00D747E3"/>
    <w:rsid w:val="00D76B53"/>
    <w:rsid w:val="00D83FD1"/>
    <w:rsid w:val="00D87779"/>
    <w:rsid w:val="00DA4D65"/>
    <w:rsid w:val="00DB11A2"/>
    <w:rsid w:val="00DB12CC"/>
    <w:rsid w:val="00DB2A5F"/>
    <w:rsid w:val="00DB3B25"/>
    <w:rsid w:val="00DB4F1A"/>
    <w:rsid w:val="00DB52B1"/>
    <w:rsid w:val="00DC37BE"/>
    <w:rsid w:val="00DD1A54"/>
    <w:rsid w:val="00DD1CA0"/>
    <w:rsid w:val="00DE10CC"/>
    <w:rsid w:val="00DE2A5A"/>
    <w:rsid w:val="00DE79BE"/>
    <w:rsid w:val="00DF12E9"/>
    <w:rsid w:val="00DF1B32"/>
    <w:rsid w:val="00E025C7"/>
    <w:rsid w:val="00E035A7"/>
    <w:rsid w:val="00E1176E"/>
    <w:rsid w:val="00E11DFD"/>
    <w:rsid w:val="00E13927"/>
    <w:rsid w:val="00E3348C"/>
    <w:rsid w:val="00E35980"/>
    <w:rsid w:val="00E35F34"/>
    <w:rsid w:val="00E41A57"/>
    <w:rsid w:val="00E445FA"/>
    <w:rsid w:val="00E475E7"/>
    <w:rsid w:val="00E51815"/>
    <w:rsid w:val="00E575E8"/>
    <w:rsid w:val="00E611EA"/>
    <w:rsid w:val="00E65B10"/>
    <w:rsid w:val="00E73B81"/>
    <w:rsid w:val="00E875CE"/>
    <w:rsid w:val="00E87B3D"/>
    <w:rsid w:val="00E95A37"/>
    <w:rsid w:val="00EA2276"/>
    <w:rsid w:val="00EA672A"/>
    <w:rsid w:val="00EA7BE0"/>
    <w:rsid w:val="00EB0D87"/>
    <w:rsid w:val="00EB4BE3"/>
    <w:rsid w:val="00EB5CD7"/>
    <w:rsid w:val="00EC1682"/>
    <w:rsid w:val="00EC4787"/>
    <w:rsid w:val="00ED1918"/>
    <w:rsid w:val="00ED279C"/>
    <w:rsid w:val="00ED2DE9"/>
    <w:rsid w:val="00ED395D"/>
    <w:rsid w:val="00EE3680"/>
    <w:rsid w:val="00EE5C9E"/>
    <w:rsid w:val="00EE5FA2"/>
    <w:rsid w:val="00F0070A"/>
    <w:rsid w:val="00F04685"/>
    <w:rsid w:val="00F10932"/>
    <w:rsid w:val="00F14F89"/>
    <w:rsid w:val="00F22F60"/>
    <w:rsid w:val="00F25AD9"/>
    <w:rsid w:val="00F516F2"/>
    <w:rsid w:val="00F62103"/>
    <w:rsid w:val="00F71CDE"/>
    <w:rsid w:val="00F81273"/>
    <w:rsid w:val="00F830BC"/>
    <w:rsid w:val="00F84636"/>
    <w:rsid w:val="00F952AE"/>
    <w:rsid w:val="00F958A6"/>
    <w:rsid w:val="00F9651D"/>
    <w:rsid w:val="00FA3522"/>
    <w:rsid w:val="00FA3EC1"/>
    <w:rsid w:val="00FB3429"/>
    <w:rsid w:val="00FC0A8C"/>
    <w:rsid w:val="00FC6E6F"/>
    <w:rsid w:val="00FC7B13"/>
    <w:rsid w:val="00FD073D"/>
    <w:rsid w:val="00FD3CD4"/>
    <w:rsid w:val="00FE0740"/>
    <w:rsid w:val="00FE6730"/>
    <w:rsid w:val="00FE70DC"/>
    <w:rsid w:val="00FF3DE6"/>
    <w:rsid w:val="00FF5BE8"/>
    <w:rsid w:val="00FF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38B8E"/>
  <w15:chartTrackingRefBased/>
  <w15:docId w15:val="{DF2A5158-3F06-4E80-8553-76144F9F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黑体" w:hAnsi="Times New Roman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3C9"/>
    <w:pPr>
      <w:spacing w:after="180"/>
    </w:pPr>
  </w:style>
  <w:style w:type="paragraph" w:styleId="1">
    <w:name w:val="heading 1"/>
    <w:aliases w:val="H1,Memo Heading 1,h1 + 11 pt,Before:  6 pt,After:  0 pt"/>
    <w:next w:val="a"/>
    <w:link w:val="1Char"/>
    <w:qFormat/>
    <w:rsid w:val="00C81E8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Wingdings" w:eastAsia="Cambria Math" w:hAnsi="Wingdings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F25AD9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Arial" w:eastAsia="Arial" w:hAnsi="Arial"/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C81E8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C81E8E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C81E8E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qFormat/>
    <w:rsid w:val="00C81E8E"/>
    <w:pPr>
      <w:keepNext/>
      <w:keepLines/>
      <w:numPr>
        <w:ilvl w:val="6"/>
        <w:numId w:val="1"/>
      </w:numPr>
      <w:spacing w:before="120"/>
      <w:outlineLvl w:val="6"/>
    </w:pPr>
    <w:rPr>
      <w:rFonts w:ascii="Wingdings" w:eastAsia="Cambria Math" w:hAnsi="Wingdings"/>
      <w:lang w:val="en-GB" w:eastAsia="en-US"/>
    </w:rPr>
  </w:style>
  <w:style w:type="paragraph" w:styleId="8">
    <w:name w:val="heading 8"/>
    <w:basedOn w:val="1"/>
    <w:next w:val="a"/>
    <w:link w:val="8Char"/>
    <w:qFormat/>
    <w:rsid w:val="00C81E8E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1E8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8A4A6F"/>
    <w:pPr>
      <w:widowControl w:val="0"/>
    </w:pPr>
    <w:rPr>
      <w:rFonts w:ascii="Wingdings" w:hAnsi="Wingdings"/>
      <w:b/>
      <w:noProof/>
      <w:sz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8A4A6F"/>
    <w:rPr>
      <w:rFonts w:ascii="Wingdings" w:eastAsia="宋体" w:hAnsi="Wingdings" w:cs="Wingdings"/>
      <w:b/>
      <w:noProof/>
      <w:sz w:val="18"/>
    </w:rPr>
  </w:style>
  <w:style w:type="paragraph" w:styleId="a4">
    <w:name w:val="footer"/>
    <w:basedOn w:val="a3"/>
    <w:link w:val="Char0"/>
    <w:rsid w:val="008A4A6F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8A4A6F"/>
    <w:rPr>
      <w:rFonts w:ascii="Wingdings" w:eastAsia="宋体" w:hAnsi="Wingdings" w:cs="Wingdings"/>
      <w:b/>
      <w:i/>
      <w:noProof/>
      <w:sz w:val="18"/>
    </w:rPr>
  </w:style>
  <w:style w:type="paragraph" w:customStyle="1" w:styleId="CRCoverPage">
    <w:name w:val="CR Cover Page"/>
    <w:rsid w:val="008A4A6F"/>
    <w:pPr>
      <w:spacing w:after="120"/>
    </w:pPr>
    <w:rPr>
      <w:rFonts w:ascii="Wingdings" w:hAnsi="Wingdings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"/>
    <w:basedOn w:val="a0"/>
    <w:link w:val="1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25AD9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a0"/>
    <w:link w:val="3"/>
    <w:rsid w:val="00C81E8E"/>
    <w:rPr>
      <w:rFonts w:ascii="Wingdings" w:eastAsia="Cambria Math" w:hAnsi="Wingdings" w:cs="Wingdings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C81E8E"/>
    <w:rPr>
      <w:rFonts w:ascii="Wingdings" w:eastAsia="Cambria Math" w:hAnsi="Wingdings" w:cs="Wingdings"/>
      <w:sz w:val="24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C81E8E"/>
    <w:rPr>
      <w:rFonts w:ascii="Wingdings" w:eastAsia="Cambria Math" w:hAnsi="Wingdings" w:cs="Wingdings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C81E8E"/>
    <w:rPr>
      <w:rFonts w:ascii="Wingdings" w:eastAsia="Cambria Math" w:hAnsi="Wingdings" w:cs="Wingdings"/>
      <w:lang w:val="en-GB" w:eastAsia="en-US"/>
    </w:rPr>
  </w:style>
  <w:style w:type="character" w:customStyle="1" w:styleId="8Char">
    <w:name w:val="标题 8 Char"/>
    <w:basedOn w:val="a0"/>
    <w:link w:val="8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81E8E"/>
    <w:rPr>
      <w:rFonts w:ascii="Wingdings" w:eastAsia="Cambria Math" w:hAnsi="Wingdings" w:cs="Wingdings"/>
      <w:sz w:val="36"/>
      <w:lang w:val="en-GB" w:eastAsia="en-US"/>
    </w:rPr>
  </w:style>
  <w:style w:type="paragraph" w:customStyle="1" w:styleId="TAC">
    <w:name w:val="TAC"/>
    <w:basedOn w:val="a"/>
    <w:link w:val="TACChar"/>
    <w:rsid w:val="009720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sz w:val="18"/>
      <w:lang w:val="en-GB" w:eastAsia="x-none"/>
    </w:rPr>
  </w:style>
  <w:style w:type="character" w:customStyle="1" w:styleId="TACChar">
    <w:name w:val="TAC Char"/>
    <w:link w:val="TAC"/>
    <w:rsid w:val="0097202C"/>
    <w:rPr>
      <w:rFonts w:ascii="Arial" w:eastAsia="Times New Roman" w:hAnsi="Arial" w:cs="Times New Roman"/>
      <w:sz w:val="18"/>
      <w:lang w:val="en-GB" w:eastAsia="x-none"/>
    </w:rPr>
  </w:style>
  <w:style w:type="paragraph" w:customStyle="1" w:styleId="TH">
    <w:name w:val="TH"/>
    <w:basedOn w:val="a"/>
    <w:link w:val="THChar"/>
    <w:rsid w:val="009720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Times New Roman"/>
      <w:b/>
      <w:lang w:val="en-GB" w:eastAsia="x-none"/>
    </w:rPr>
  </w:style>
  <w:style w:type="character" w:customStyle="1" w:styleId="THChar">
    <w:name w:val="TH Char"/>
    <w:link w:val="TH"/>
    <w:rsid w:val="0097202C"/>
    <w:rPr>
      <w:rFonts w:ascii="Arial" w:eastAsia="Times New Roman" w:hAnsi="Arial" w:cs="Times New Roman"/>
      <w:b/>
      <w:lang w:val="en-GB" w:eastAsia="x-none"/>
    </w:rPr>
  </w:style>
  <w:style w:type="paragraph" w:customStyle="1" w:styleId="TAH">
    <w:name w:val="TAH"/>
    <w:basedOn w:val="TAC"/>
    <w:link w:val="TAHCar"/>
    <w:rsid w:val="0097202C"/>
    <w:rPr>
      <w:b/>
    </w:rPr>
  </w:style>
  <w:style w:type="character" w:customStyle="1" w:styleId="TAHCar">
    <w:name w:val="TAH Car"/>
    <w:link w:val="TAH"/>
    <w:rsid w:val="0097202C"/>
    <w:rPr>
      <w:rFonts w:ascii="Arial" w:eastAsia="Times New Roman" w:hAnsi="Arial" w:cs="Times New Roman"/>
      <w:b/>
      <w:sz w:val="18"/>
      <w:lang w:val="en-GB" w:eastAsia="x-none"/>
    </w:rPr>
  </w:style>
  <w:style w:type="paragraph" w:styleId="a5">
    <w:name w:val="caption"/>
    <w:basedOn w:val="a"/>
    <w:next w:val="a"/>
    <w:uiPriority w:val="35"/>
    <w:unhideWhenUsed/>
    <w:qFormat/>
    <w:rsid w:val="0097202C"/>
    <w:rPr>
      <w:rFonts w:asciiTheme="majorHAnsi" w:hAnsiTheme="majorHAnsi"/>
    </w:rPr>
  </w:style>
  <w:style w:type="character" w:styleId="a6">
    <w:name w:val="annotation reference"/>
    <w:basedOn w:val="a0"/>
    <w:uiPriority w:val="99"/>
    <w:semiHidden/>
    <w:unhideWhenUsed/>
    <w:rsid w:val="00477795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477795"/>
  </w:style>
  <w:style w:type="character" w:customStyle="1" w:styleId="Char1">
    <w:name w:val="批注文字 Char"/>
    <w:basedOn w:val="a0"/>
    <w:link w:val="a7"/>
    <w:uiPriority w:val="99"/>
    <w:semiHidden/>
    <w:rsid w:val="00477795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77795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477795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477795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477795"/>
    <w:rPr>
      <w:sz w:val="18"/>
      <w:szCs w:val="18"/>
    </w:rPr>
  </w:style>
  <w:style w:type="paragraph" w:styleId="aa">
    <w:name w:val="List Paragraph"/>
    <w:aliases w:val="- Bullets,목록 단락,?? ??,?????,????,リスト段落,Lista1"/>
    <w:basedOn w:val="a"/>
    <w:link w:val="Char4"/>
    <w:uiPriority w:val="34"/>
    <w:qFormat/>
    <w:rsid w:val="009A679B"/>
    <w:pPr>
      <w:ind w:firstLineChars="200" w:firstLine="420"/>
    </w:pPr>
  </w:style>
  <w:style w:type="table" w:styleId="ab">
    <w:name w:val="Table Grid"/>
    <w:basedOn w:val="a1"/>
    <w:rsid w:val="00216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TH"/>
    <w:link w:val="TFChar"/>
    <w:rsid w:val="003E30D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  <w:lang w:eastAsia="en-US"/>
    </w:rPr>
  </w:style>
  <w:style w:type="character" w:customStyle="1" w:styleId="TFChar">
    <w:name w:val="TF Char"/>
    <w:basedOn w:val="a0"/>
    <w:link w:val="TF"/>
    <w:rsid w:val="003E30D3"/>
    <w:rPr>
      <w:rFonts w:ascii="Arial" w:eastAsia="MS Mincho" w:hAnsi="Arial" w:cs="Times New Roman"/>
      <w:b/>
      <w:lang w:val="en-GB" w:eastAsia="en-US"/>
    </w:rPr>
  </w:style>
  <w:style w:type="paragraph" w:customStyle="1" w:styleId="B1">
    <w:name w:val="B1"/>
    <w:basedOn w:val="ac"/>
    <w:link w:val="B1Zchn"/>
    <w:qFormat/>
    <w:rsid w:val="00DB3B25"/>
    <w:pPr>
      <w:ind w:left="568" w:firstLineChars="0" w:hanging="284"/>
      <w:contextualSpacing w:val="0"/>
    </w:pPr>
    <w:rPr>
      <w:rFonts w:eastAsia="MS Mincho" w:cs="Times New Roman"/>
      <w:lang w:val="en-GB" w:eastAsia="en-US"/>
    </w:rPr>
  </w:style>
  <w:style w:type="character" w:customStyle="1" w:styleId="B1Zchn">
    <w:name w:val="B1 Zchn"/>
    <w:basedOn w:val="a0"/>
    <w:link w:val="B1"/>
    <w:rsid w:val="00DB3B25"/>
    <w:rPr>
      <w:rFonts w:eastAsia="MS Mincho" w:cs="Times New Roman"/>
      <w:lang w:val="en-GB" w:eastAsia="en-US"/>
    </w:rPr>
  </w:style>
  <w:style w:type="paragraph" w:styleId="ac">
    <w:name w:val="List"/>
    <w:basedOn w:val="a"/>
    <w:uiPriority w:val="99"/>
    <w:semiHidden/>
    <w:unhideWhenUsed/>
    <w:rsid w:val="00DB3B25"/>
    <w:pPr>
      <w:ind w:left="200" w:hangingChars="200" w:hanging="200"/>
      <w:contextualSpacing/>
    </w:pPr>
  </w:style>
  <w:style w:type="character" w:customStyle="1" w:styleId="Char4">
    <w:name w:val="列出段落 Char"/>
    <w:aliases w:val="- Bullets Char,목록 단락 Char,?? ?? Char,????? Char,???? Char,リスト段落 Char,Lista1 Char"/>
    <w:link w:val="aa"/>
    <w:uiPriority w:val="34"/>
    <w:qFormat/>
    <w:locked/>
    <w:rsid w:val="00001017"/>
  </w:style>
  <w:style w:type="paragraph" w:customStyle="1" w:styleId="TAL">
    <w:name w:val="TAL"/>
    <w:basedOn w:val="a"/>
    <w:link w:val="TALChar"/>
    <w:rsid w:val="00C92C08"/>
    <w:pPr>
      <w:keepNext/>
      <w:keepLines/>
      <w:spacing w:after="0"/>
    </w:pPr>
    <w:rPr>
      <w:rFonts w:ascii="Arial" w:eastAsiaTheme="minorEastAsia" w:hAnsi="Arial" w:cs="Times New Roman"/>
      <w:sz w:val="18"/>
      <w:lang w:val="en-GB" w:eastAsia="en-US"/>
    </w:rPr>
  </w:style>
  <w:style w:type="character" w:customStyle="1" w:styleId="TALChar">
    <w:name w:val="TAL Char"/>
    <w:link w:val="TAL"/>
    <w:locked/>
    <w:rsid w:val="00C92C08"/>
    <w:rPr>
      <w:rFonts w:ascii="Arial" w:eastAsiaTheme="minorEastAsia" w:hAnsi="Arial" w:cs="Times New Roman"/>
      <w:sz w:val="18"/>
      <w:lang w:val="en-GB" w:eastAsia="en-US"/>
    </w:rPr>
  </w:style>
  <w:style w:type="character" w:customStyle="1" w:styleId="textblue2">
    <w:name w:val="text_blue2"/>
    <w:basedOn w:val="a0"/>
    <w:rsid w:val="00FE6730"/>
  </w:style>
  <w:style w:type="character" w:customStyle="1" w:styleId="B1Char1">
    <w:name w:val="B1 Char1"/>
    <w:qFormat/>
    <w:rsid w:val="00EC4787"/>
    <w:rPr>
      <w:rFonts w:eastAsia="Times New Roman"/>
    </w:rPr>
  </w:style>
  <w:style w:type="paragraph" w:customStyle="1" w:styleId="B2">
    <w:name w:val="B2"/>
    <w:basedOn w:val="20"/>
    <w:link w:val="B2Char"/>
    <w:qFormat/>
    <w:rsid w:val="00EC4787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paragraph" w:customStyle="1" w:styleId="B3">
    <w:name w:val="B3"/>
    <w:basedOn w:val="30"/>
    <w:link w:val="B3Char"/>
    <w:qFormat/>
    <w:rsid w:val="00EC4787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character" w:customStyle="1" w:styleId="B3Char">
    <w:name w:val="B3 Char"/>
    <w:link w:val="B3"/>
    <w:rsid w:val="00EC4787"/>
    <w:rPr>
      <w:rFonts w:eastAsia="Times New Roman" w:cs="Times New Roman"/>
      <w:lang w:val="en-GB" w:eastAsia="en-GB"/>
    </w:rPr>
  </w:style>
  <w:style w:type="paragraph" w:styleId="20">
    <w:name w:val="List 2"/>
    <w:basedOn w:val="a"/>
    <w:uiPriority w:val="99"/>
    <w:semiHidden/>
    <w:unhideWhenUsed/>
    <w:rsid w:val="00EC4787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EC4787"/>
    <w:pPr>
      <w:ind w:leftChars="400" w:left="100" w:hangingChars="200" w:hanging="200"/>
      <w:contextualSpacing/>
    </w:pPr>
  </w:style>
  <w:style w:type="character" w:styleId="ad">
    <w:name w:val="Placeholder Text"/>
    <w:basedOn w:val="a0"/>
    <w:uiPriority w:val="99"/>
    <w:semiHidden/>
    <w:rsid w:val="00D64419"/>
    <w:rPr>
      <w:color w:val="808080"/>
    </w:rPr>
  </w:style>
  <w:style w:type="character" w:styleId="ae">
    <w:name w:val="Hyperlink"/>
    <w:uiPriority w:val="99"/>
    <w:unhideWhenUsed/>
    <w:rsid w:val="00993613"/>
    <w:rPr>
      <w:color w:val="0000FF"/>
      <w:u w:val="single"/>
    </w:rPr>
  </w:style>
  <w:style w:type="paragraph" w:styleId="af">
    <w:name w:val="Normal (Web)"/>
    <w:basedOn w:val="a"/>
    <w:uiPriority w:val="99"/>
    <w:semiHidden/>
    <w:unhideWhenUsed/>
    <w:rsid w:val="000F22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L">
    <w:name w:val="PL"/>
    <w:link w:val="PLChar"/>
    <w:rsid w:val="00F83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</w:rPr>
  </w:style>
  <w:style w:type="character" w:customStyle="1" w:styleId="PLChar">
    <w:name w:val="PL Char"/>
    <w:link w:val="PL"/>
    <w:rsid w:val="00F830BC"/>
    <w:rPr>
      <w:rFonts w:ascii="Courier New" w:eastAsia="Times New Roman" w:hAnsi="Courier New" w:cs="Times New Roman"/>
      <w:noProof/>
      <w:sz w:val="16"/>
    </w:rPr>
  </w:style>
  <w:style w:type="paragraph" w:customStyle="1" w:styleId="Doc-text2">
    <w:name w:val="Doc-text2"/>
    <w:basedOn w:val="a"/>
    <w:link w:val="Doc-text2Char"/>
    <w:qFormat/>
    <w:rsid w:val="005B4629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rsid w:val="005B4629"/>
    <w:rPr>
      <w:rFonts w:ascii="Arial" w:eastAsia="MS Mincho" w:hAnsi="Arial" w:cs="Times New Roman"/>
      <w:szCs w:val="24"/>
      <w:lang w:val="en-GB" w:eastAsia="en-GB"/>
    </w:rPr>
  </w:style>
  <w:style w:type="paragraph" w:customStyle="1" w:styleId="TAR">
    <w:name w:val="TAR"/>
    <w:basedOn w:val="TAL"/>
    <w:uiPriority w:val="99"/>
    <w:rsid w:val="00664C6A"/>
    <w:pPr>
      <w:jc w:val="right"/>
    </w:pPr>
    <w:rPr>
      <w:rFonts w:eastAsia="宋体"/>
    </w:rPr>
  </w:style>
  <w:style w:type="character" w:customStyle="1" w:styleId="B2Char">
    <w:name w:val="B2 Char"/>
    <w:link w:val="B2"/>
    <w:qFormat/>
    <w:rsid w:val="00ED395D"/>
    <w:rPr>
      <w:rFonts w:eastAsia="Times New Roman" w:cs="Times New Roman"/>
      <w:lang w:val="en-GB" w:eastAsia="en-GB"/>
    </w:rPr>
  </w:style>
  <w:style w:type="character" w:customStyle="1" w:styleId="B3Char2">
    <w:name w:val="B3 Char2"/>
    <w:qFormat/>
    <w:rsid w:val="00ED395D"/>
    <w:rPr>
      <w:rFonts w:eastAsia="Times New Roman"/>
      <w:lang w:eastAsia="ja-JP"/>
    </w:rPr>
  </w:style>
  <w:style w:type="paragraph" w:customStyle="1" w:styleId="B4">
    <w:name w:val="B4"/>
    <w:basedOn w:val="40"/>
    <w:link w:val="B4Char"/>
    <w:qFormat/>
    <w:rsid w:val="00ED395D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 w:cs="Times New Roman"/>
      <w:lang w:val="en-GB" w:eastAsia="ja-JP"/>
    </w:rPr>
  </w:style>
  <w:style w:type="character" w:customStyle="1" w:styleId="B4Char">
    <w:name w:val="B4 Char"/>
    <w:link w:val="B4"/>
    <w:qFormat/>
    <w:rsid w:val="00ED395D"/>
    <w:rPr>
      <w:rFonts w:eastAsia="Times New Roman" w:cs="Times New Roman"/>
      <w:lang w:val="en-GB" w:eastAsia="ja-JP"/>
    </w:rPr>
  </w:style>
  <w:style w:type="paragraph" w:styleId="40">
    <w:name w:val="List 4"/>
    <w:basedOn w:val="a"/>
    <w:uiPriority w:val="99"/>
    <w:semiHidden/>
    <w:unhideWhenUsed/>
    <w:rsid w:val="00ED395D"/>
    <w:pPr>
      <w:ind w:leftChars="600" w:left="100" w:hangingChars="200" w:hanging="200"/>
      <w:contextualSpacing/>
    </w:pPr>
  </w:style>
  <w:style w:type="paragraph" w:customStyle="1" w:styleId="21">
    <w:name w:val="样式2"/>
    <w:basedOn w:val="a"/>
    <w:link w:val="2Char0"/>
    <w:autoRedefine/>
    <w:qFormat/>
    <w:rsid w:val="004A0F0A"/>
    <w:pPr>
      <w:overflowPunct w:val="0"/>
      <w:autoSpaceDE w:val="0"/>
      <w:autoSpaceDN w:val="0"/>
      <w:adjustRightInd w:val="0"/>
      <w:textAlignment w:val="baseline"/>
    </w:pPr>
    <w:rPr>
      <w:rFonts w:eastAsia="宋体" w:cs="Times New Roman"/>
      <w:lang w:val="en-GB"/>
    </w:rPr>
  </w:style>
  <w:style w:type="character" w:customStyle="1" w:styleId="2Char0">
    <w:name w:val="样式2 Char"/>
    <w:basedOn w:val="a0"/>
    <w:link w:val="21"/>
    <w:rsid w:val="004A0F0A"/>
    <w:rPr>
      <w:rFonts w:eastAsia="宋体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660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71684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8342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94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489622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4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1978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5002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50538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20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029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581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3367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30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281408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8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4111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5906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213184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686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59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86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0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16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30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6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06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6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30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80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6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40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278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09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01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5B594-0816-4C41-B41D-1F54AD5C4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Wangxuesong (Cedar, Beijing Branch of Hisilicon Research Dept)</cp:lastModifiedBy>
  <cp:revision>6</cp:revision>
  <dcterms:created xsi:type="dcterms:W3CDTF">2019-02-15T02:55:00Z</dcterms:created>
  <dcterms:modified xsi:type="dcterms:W3CDTF">2019-02-15T12:28:00Z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(3)9sLHz2NoFtKT9hgb58pCmp17f3e3cfkZR1ZmtJQ6L9Gspp6Pdxpwc0ykiLla+CU8AD1vGhyR
H3RI5CfScmewtBLxpjikWHzphYXO55l3MqJaX3GQw49xLQSrY9lhtqSf3RXAyVSjpW3UGSeu
M/IRBhPwaloV1Skk9B/Ffg77JKVD5R5K11HKiyYEth5bwXET8Qx40Ej8v9s4hhXzUYAw/OQm
/ggll8Wp65zFnwr0r5</vt:lpwstr>
  </property>
  <property fmtid="{D5CDD505-2E9C-101B-9397-08002B2CF9AE}" pid="3" name="_2015_ms_pID_7253431">
    <vt:lpwstr>03qOigvHwbe4LpaUZ+hlxqxQ+aZNOs7J7sggRp6T9IDdbZntwxRZbR
7tGsynydgwoWB0ybfPpcvG0Ll4ejIOlU5b46jyJb16XoiDdrLEXEJhekqFLfc5w8UW0tj1yJ
DTOpXULd/ScJlaRfxjYCzWDRPH50NLKod8WhTO07WJXiVitq5hNObG9lC3qHz/QAiMaFKyEe
sZx1DveePVW3YlZnQ2yD44sJnNnfevpd8EC+</vt:lpwstr>
  </property>
  <property fmtid="{D5CDD505-2E9C-101B-9397-08002B2CF9AE}" pid="4" name="_2015_ms_pID_7253432">
    <vt:lpwstr>hQ==</vt:lpwstr>
  </property>
</Properties>
</file>